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94" w:type="dxa"/>
        <w:tblLook w:val="04A0" w:firstRow="1" w:lastRow="0" w:firstColumn="1" w:lastColumn="0" w:noHBand="0" w:noVBand="1"/>
      </w:tblPr>
      <w:tblGrid>
        <w:gridCol w:w="4530"/>
        <w:gridCol w:w="4764"/>
      </w:tblGrid>
      <w:tr w:rsidR="00442A93" w:rsidRPr="00442A93" w14:paraId="1BD026B1" w14:textId="77777777" w:rsidTr="001220B2">
        <w:tc>
          <w:tcPr>
            <w:tcW w:w="4530" w:type="dxa"/>
            <w:shd w:val="clear" w:color="auto" w:fill="D9D9D9" w:themeFill="background1" w:themeFillShade="D9"/>
            <w:vAlign w:val="center"/>
          </w:tcPr>
          <w:p w14:paraId="5BE55032" w14:textId="77777777" w:rsidR="00442A93" w:rsidRPr="00442A93" w:rsidRDefault="00442A93" w:rsidP="001220B2">
            <w:pPr>
              <w:pStyle w:val="NormalWeb"/>
              <w:spacing w:before="0" w:beforeAutospacing="0" w:after="0" w:afterAutospacing="0"/>
              <w:jc w:val="center"/>
              <w:rPr>
                <w:rStyle w:val="lev"/>
                <w:rFonts w:ascii="Arial" w:hAnsi="Arial" w:cs="Arial"/>
                <w:bCs w:val="0"/>
                <w:color w:val="006666"/>
                <w:sz w:val="22"/>
                <w:szCs w:val="22"/>
              </w:rPr>
            </w:pPr>
            <w:r w:rsidRPr="00442A93">
              <w:rPr>
                <w:rStyle w:val="lev"/>
                <w:rFonts w:ascii="Arial" w:hAnsi="Arial" w:cs="Arial"/>
                <w:color w:val="006666"/>
                <w:sz w:val="22"/>
                <w:szCs w:val="22"/>
              </w:rPr>
              <w:t>Première baccalauréat professionnel</w:t>
            </w:r>
          </w:p>
        </w:tc>
        <w:tc>
          <w:tcPr>
            <w:tcW w:w="4764" w:type="dxa"/>
            <w:shd w:val="clear" w:color="auto" w:fill="D9D9D9" w:themeFill="background1" w:themeFillShade="D9"/>
            <w:vAlign w:val="center"/>
          </w:tcPr>
          <w:p w14:paraId="074276B1" w14:textId="77777777" w:rsidR="00442A93" w:rsidRPr="00442A93" w:rsidRDefault="00442A93" w:rsidP="001220B2">
            <w:pPr>
              <w:pStyle w:val="NormalWeb"/>
              <w:spacing w:before="0" w:beforeAutospacing="0" w:after="0" w:afterAutospacing="0"/>
              <w:jc w:val="center"/>
              <w:rPr>
                <w:rStyle w:val="lev"/>
                <w:rFonts w:ascii="Arial" w:hAnsi="Arial" w:cs="Arial"/>
                <w:bCs w:val="0"/>
                <w:color w:val="006666"/>
                <w:sz w:val="22"/>
                <w:szCs w:val="22"/>
              </w:rPr>
            </w:pPr>
            <w:r w:rsidRPr="00442A93">
              <w:rPr>
                <w:rStyle w:val="lev"/>
                <w:rFonts w:ascii="Arial" w:hAnsi="Arial" w:cs="Arial"/>
                <w:color w:val="006666"/>
                <w:sz w:val="22"/>
                <w:szCs w:val="22"/>
              </w:rPr>
              <w:t>DOSSIER 5</w:t>
            </w:r>
          </w:p>
        </w:tc>
      </w:tr>
      <w:tr w:rsidR="00442A93" w:rsidRPr="00442A93" w14:paraId="3A303398" w14:textId="77777777" w:rsidTr="001220B2">
        <w:trPr>
          <w:trHeight w:val="841"/>
        </w:trPr>
        <w:tc>
          <w:tcPr>
            <w:tcW w:w="9294" w:type="dxa"/>
            <w:gridSpan w:val="2"/>
          </w:tcPr>
          <w:p w14:paraId="1B69053B" w14:textId="77777777" w:rsidR="00442A93" w:rsidRPr="00442A93" w:rsidRDefault="00442A93" w:rsidP="001220B2">
            <w:pPr>
              <w:pStyle w:val="NormalWeb"/>
              <w:spacing w:before="0" w:beforeAutospacing="0" w:after="0" w:afterAutospacing="0"/>
              <w:jc w:val="both"/>
              <w:rPr>
                <w:rStyle w:val="lev"/>
                <w:rFonts w:ascii="Arial" w:hAnsi="Arial" w:cs="Arial"/>
                <w:bCs w:val="0"/>
                <w:sz w:val="22"/>
                <w:szCs w:val="22"/>
              </w:rPr>
            </w:pPr>
            <w:r w:rsidRPr="00442A93">
              <w:rPr>
                <w:rStyle w:val="lev"/>
                <w:rFonts w:ascii="Arial" w:hAnsi="Arial" w:cs="Arial"/>
                <w:sz w:val="22"/>
                <w:szCs w:val="22"/>
                <w:u w:val="single"/>
              </w:rPr>
              <w:t>Question : Comment mesurer l’activité économique</w:t>
            </w:r>
            <w:r w:rsidRPr="00442A93">
              <w:rPr>
                <w:rStyle w:val="lev"/>
                <w:rFonts w:ascii="Arial" w:hAnsi="Arial" w:cs="Arial"/>
                <w:sz w:val="22"/>
                <w:szCs w:val="22"/>
              </w:rPr>
              <w:t> ?</w:t>
            </w:r>
          </w:p>
          <w:p w14:paraId="26FA735D" w14:textId="77777777" w:rsidR="00442A93" w:rsidRPr="00442A93" w:rsidRDefault="00442A93" w:rsidP="00442A93">
            <w:pPr>
              <w:pStyle w:val="NormalWeb"/>
              <w:numPr>
                <w:ilvl w:val="0"/>
                <w:numId w:val="1"/>
              </w:numPr>
              <w:spacing w:before="0" w:beforeAutospacing="0" w:after="0" w:afterAutospacing="0"/>
              <w:jc w:val="both"/>
              <w:rPr>
                <w:rStyle w:val="lev"/>
                <w:rFonts w:ascii="Arial" w:hAnsi="Arial" w:cs="Arial"/>
                <w:b w:val="0"/>
                <w:bCs w:val="0"/>
                <w:sz w:val="22"/>
                <w:szCs w:val="22"/>
              </w:rPr>
            </w:pPr>
            <w:r w:rsidRPr="00442A93">
              <w:rPr>
                <w:rStyle w:val="lev"/>
                <w:rFonts w:ascii="Arial" w:hAnsi="Arial" w:cs="Arial"/>
                <w:sz w:val="22"/>
                <w:szCs w:val="22"/>
              </w:rPr>
              <w:t>Interpréter des indicateurs de l’activité économique.</w:t>
            </w:r>
          </w:p>
          <w:p w14:paraId="712882D6" w14:textId="77777777" w:rsidR="00442A93" w:rsidRPr="00442A93" w:rsidRDefault="00442A93" w:rsidP="00442A93">
            <w:pPr>
              <w:pStyle w:val="NormalWeb"/>
              <w:numPr>
                <w:ilvl w:val="0"/>
                <w:numId w:val="1"/>
              </w:numPr>
              <w:spacing w:before="0" w:beforeAutospacing="0" w:after="0" w:afterAutospacing="0"/>
              <w:jc w:val="both"/>
              <w:rPr>
                <w:rStyle w:val="lev"/>
                <w:rFonts w:ascii="Arial" w:hAnsi="Arial" w:cs="Arial"/>
                <w:b w:val="0"/>
                <w:bCs w:val="0"/>
                <w:sz w:val="22"/>
                <w:szCs w:val="22"/>
              </w:rPr>
            </w:pPr>
            <w:r w:rsidRPr="00442A93">
              <w:rPr>
                <w:rStyle w:val="lev"/>
                <w:rFonts w:ascii="Arial" w:hAnsi="Arial" w:cs="Arial"/>
                <w:sz w:val="22"/>
                <w:szCs w:val="22"/>
              </w:rPr>
              <w:t xml:space="preserve">Commenter les indicateurs de l’économie Française au regard d’autres pays européens.  </w:t>
            </w:r>
          </w:p>
        </w:tc>
      </w:tr>
    </w:tbl>
    <w:p w14:paraId="7AA323F2" w14:textId="7B0F9E14" w:rsidR="00442A93" w:rsidRDefault="00442A93" w:rsidP="00EF2F7F">
      <w:pPr>
        <w:spacing w:after="0"/>
      </w:pPr>
    </w:p>
    <w:p w14:paraId="4F37AEFC" w14:textId="27EFBC9C" w:rsidR="00257327" w:rsidRPr="00442A93" w:rsidRDefault="00257327" w:rsidP="00442A93">
      <w:pPr>
        <w:pStyle w:val="Paragraphedeliste"/>
        <w:numPr>
          <w:ilvl w:val="0"/>
          <w:numId w:val="3"/>
        </w:numPr>
        <w:jc w:val="both"/>
        <w:rPr>
          <w:rFonts w:eastAsia="Times New Roman" w:cs="Arial"/>
          <w:b/>
          <w:bCs/>
          <w:kern w:val="36"/>
          <w:sz w:val="24"/>
          <w:szCs w:val="24"/>
          <w:lang w:eastAsia="fr-FR"/>
        </w:rPr>
      </w:pPr>
      <w:r w:rsidRPr="00442A93">
        <w:rPr>
          <w:rFonts w:eastAsia="Times New Roman" w:cs="Arial"/>
          <w:b/>
          <w:bCs/>
          <w:kern w:val="36"/>
          <w:sz w:val="24"/>
          <w:szCs w:val="24"/>
          <w:lang w:eastAsia="fr-FR"/>
        </w:rPr>
        <w:t>Le PIB, la croissance, définitions et modes de calcul</w:t>
      </w:r>
    </w:p>
    <w:p w14:paraId="1643F3CE" w14:textId="69F6B365" w:rsidR="00257327" w:rsidRPr="00324AAF" w:rsidRDefault="00257327" w:rsidP="00EF2F7F">
      <w:pPr>
        <w:jc w:val="both"/>
        <w:rPr>
          <w:rFonts w:cs="Arial"/>
        </w:rPr>
      </w:pPr>
      <w:r w:rsidRPr="00324AAF">
        <w:rPr>
          <w:rFonts w:cs="Arial"/>
          <w:b/>
          <w:bCs/>
        </w:rPr>
        <w:t>Le produit intérieur brut</w:t>
      </w:r>
      <w:r w:rsidRPr="00324AAF">
        <w:rPr>
          <w:rFonts w:cs="Arial"/>
        </w:rPr>
        <w:t xml:space="preserve"> </w:t>
      </w:r>
      <w:r w:rsidR="00EF2F7F">
        <w:rPr>
          <w:rFonts w:cs="Arial"/>
        </w:rPr>
        <w:t xml:space="preserve">(PIB) </w:t>
      </w:r>
      <w:r w:rsidRPr="00324AAF">
        <w:rPr>
          <w:rFonts w:cs="Arial"/>
        </w:rPr>
        <w:t>est l'indicateur économique qui permet de quantifier la valeur totale de la « production de richesse » annuelle effectuée par les agents économiques résidant à l'intérieur d'un territoire.</w:t>
      </w:r>
      <w:r w:rsidR="00EF2F7F">
        <w:rPr>
          <w:rFonts w:cs="Arial"/>
        </w:rPr>
        <w:t xml:space="preserve"> I</w:t>
      </w:r>
      <w:r w:rsidRPr="00324AAF">
        <w:rPr>
          <w:rFonts w:cs="Arial"/>
        </w:rPr>
        <w:t xml:space="preserve">l est utilisé pour </w:t>
      </w:r>
      <w:r w:rsidRPr="00EF2F7F">
        <w:rPr>
          <w:rFonts w:cs="Arial"/>
          <w:b/>
          <w:bCs/>
        </w:rPr>
        <w:t>mesurer la croissance économique</w:t>
      </w:r>
      <w:r w:rsidRPr="00324AAF">
        <w:rPr>
          <w:rFonts w:cs="Arial"/>
        </w:rPr>
        <w:t xml:space="preserve"> d’un pays.</w:t>
      </w:r>
      <w:r w:rsidR="00EF2F7F">
        <w:rPr>
          <w:rFonts w:cs="Arial"/>
        </w:rPr>
        <w:t xml:space="preserve"> </w:t>
      </w:r>
      <w:r w:rsidRPr="00324AAF">
        <w:rPr>
          <w:rFonts w:cs="Arial"/>
        </w:rPr>
        <w:t xml:space="preserve">Le rapport PIB / habitant est utilisé quant à lui pour mesurer le </w:t>
      </w:r>
      <w:r w:rsidRPr="00EF2F7F">
        <w:rPr>
          <w:rFonts w:cs="Arial"/>
          <w:b/>
          <w:bCs/>
        </w:rPr>
        <w:t>niveau de vie des habitants</w:t>
      </w:r>
      <w:r w:rsidRPr="00324AAF">
        <w:rPr>
          <w:rFonts w:cs="Arial"/>
        </w:rPr>
        <w:t>.</w:t>
      </w:r>
    </w:p>
    <w:p w14:paraId="130721D0" w14:textId="1C103FAF" w:rsidR="00257327" w:rsidRPr="00324AAF" w:rsidRDefault="00324AAF" w:rsidP="00324AAF">
      <w:pPr>
        <w:jc w:val="both"/>
        <w:rPr>
          <w:rFonts w:cs="Arial"/>
        </w:rPr>
      </w:pPr>
      <w:r w:rsidRPr="00324AAF">
        <w:rPr>
          <w:rFonts w:cs="Arial"/>
          <w:b/>
          <w:bCs/>
        </w:rPr>
        <w:t>La croissance</w:t>
      </w:r>
      <w:r w:rsidRPr="00324AAF">
        <w:rPr>
          <w:rFonts w:cs="Arial"/>
        </w:rPr>
        <w:t xml:space="preserve"> correspond à l’évolution du PIB sans tenir compte de la variation des prix.</w:t>
      </w:r>
    </w:p>
    <w:p w14:paraId="7D469218" w14:textId="3E8B626A" w:rsidR="00257327" w:rsidRPr="00442A93" w:rsidRDefault="00442A93" w:rsidP="00442A93">
      <w:pPr>
        <w:pStyle w:val="Paragraphedeliste"/>
        <w:numPr>
          <w:ilvl w:val="0"/>
          <w:numId w:val="3"/>
        </w:numPr>
        <w:jc w:val="both"/>
        <w:rPr>
          <w:rFonts w:eastAsia="Times New Roman" w:cs="Arial"/>
          <w:b/>
          <w:bCs/>
          <w:kern w:val="36"/>
          <w:sz w:val="24"/>
          <w:szCs w:val="24"/>
          <w:lang w:eastAsia="fr-FR"/>
        </w:rPr>
      </w:pPr>
      <w:r w:rsidRPr="00442A93">
        <w:rPr>
          <w:rFonts w:eastAsia="Times New Roman" w:cs="Arial"/>
          <w:b/>
          <w:bCs/>
          <w:kern w:val="36"/>
          <w:sz w:val="24"/>
          <w:szCs w:val="24"/>
          <w:lang w:eastAsia="fr-FR"/>
        </w:rPr>
        <w:drawing>
          <wp:anchor distT="0" distB="0" distL="114300" distR="114300" simplePos="0" relativeHeight="251660288" behindDoc="0" locked="0" layoutInCell="1" allowOverlap="1" wp14:anchorId="5505B5BC" wp14:editId="479FAD75">
            <wp:simplePos x="0" y="0"/>
            <wp:positionH relativeFrom="column">
              <wp:posOffset>4443095</wp:posOffset>
            </wp:positionH>
            <wp:positionV relativeFrom="paragraph">
              <wp:posOffset>55880</wp:posOffset>
            </wp:positionV>
            <wp:extent cx="1438275" cy="1809658"/>
            <wp:effectExtent l="0" t="0" r="0" b="635"/>
            <wp:wrapSquare wrapText="bothSides"/>
            <wp:docPr id="648543213" name="Image 2" descr="En France, la croissance 2023 s'en sort honorablement malgré trois  trimestres à zéro – L'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France, la croissance 2023 s'en sort honorablement malgré trois  trimestres à zéro – L'Exp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809658"/>
                    </a:xfrm>
                    <a:prstGeom prst="rect">
                      <a:avLst/>
                    </a:prstGeom>
                    <a:noFill/>
                    <a:ln>
                      <a:noFill/>
                    </a:ln>
                  </pic:spPr>
                </pic:pic>
              </a:graphicData>
            </a:graphic>
            <wp14:sizeRelH relativeFrom="page">
              <wp14:pctWidth>0</wp14:pctWidth>
            </wp14:sizeRelH>
            <wp14:sizeRelV relativeFrom="page">
              <wp14:pctHeight>0</wp14:pctHeight>
            </wp14:sizeRelV>
          </wp:anchor>
        </w:drawing>
      </w:r>
      <w:r w:rsidR="00257327" w:rsidRPr="00442A93">
        <w:rPr>
          <w:rFonts w:eastAsia="Times New Roman" w:cs="Arial"/>
          <w:b/>
          <w:bCs/>
          <w:kern w:val="36"/>
          <w:sz w:val="24"/>
          <w:szCs w:val="24"/>
          <w:lang w:eastAsia="fr-FR"/>
        </w:rPr>
        <w:t>La croissance économique, état des lieux</w:t>
      </w:r>
    </w:p>
    <w:p w14:paraId="55AC83ED" w14:textId="6246CDF6" w:rsidR="00257327" w:rsidRPr="00324AAF" w:rsidRDefault="00324AAF" w:rsidP="00D87B38">
      <w:pPr>
        <w:jc w:val="both"/>
        <w:rPr>
          <w:rFonts w:eastAsia="Times New Roman" w:cs="Arial"/>
          <w:kern w:val="36"/>
          <w:lang w:eastAsia="fr-FR"/>
        </w:rPr>
      </w:pPr>
      <w:r w:rsidRPr="00324AAF">
        <w:rPr>
          <w:rFonts w:eastAsia="Times New Roman" w:cs="Arial"/>
          <w:kern w:val="36"/>
          <w:lang w:eastAsia="fr-FR"/>
        </w:rPr>
        <w:t>Afin de mesurer la croissance économique, les économistes utilisent des indicateurs.</w:t>
      </w:r>
    </w:p>
    <w:p w14:paraId="0A0C7DCC" w14:textId="7116B6DD" w:rsidR="00324AAF" w:rsidRPr="00324AAF" w:rsidRDefault="00324AAF" w:rsidP="00D87B38">
      <w:pPr>
        <w:pStyle w:val="Paragraphedeliste"/>
        <w:numPr>
          <w:ilvl w:val="0"/>
          <w:numId w:val="2"/>
        </w:numPr>
        <w:jc w:val="both"/>
        <w:rPr>
          <w:rFonts w:eastAsia="Times New Roman" w:cs="Arial"/>
          <w:kern w:val="36"/>
          <w:lang w:eastAsia="fr-FR"/>
        </w:rPr>
      </w:pPr>
      <w:r w:rsidRPr="00324AAF">
        <w:rPr>
          <w:rFonts w:eastAsia="Times New Roman" w:cs="Arial"/>
          <w:kern w:val="36"/>
          <w:lang w:eastAsia="fr-FR"/>
        </w:rPr>
        <w:t>La consommation des ménages (sous-indicateur – pouvoir d’achat, moral des ménages…).</w:t>
      </w:r>
    </w:p>
    <w:p w14:paraId="622F671F" w14:textId="06985308" w:rsidR="00324AAF" w:rsidRPr="00324AAF" w:rsidRDefault="00324AAF" w:rsidP="00D87B38">
      <w:pPr>
        <w:pStyle w:val="Paragraphedeliste"/>
        <w:numPr>
          <w:ilvl w:val="0"/>
          <w:numId w:val="2"/>
        </w:numPr>
        <w:jc w:val="both"/>
        <w:rPr>
          <w:rFonts w:eastAsia="Times New Roman" w:cs="Arial"/>
          <w:kern w:val="36"/>
          <w:lang w:eastAsia="fr-FR"/>
        </w:rPr>
      </w:pPr>
      <w:r w:rsidRPr="00324AAF">
        <w:rPr>
          <w:rFonts w:eastAsia="Times New Roman" w:cs="Arial"/>
          <w:kern w:val="36"/>
          <w:lang w:eastAsia="fr-FR"/>
        </w:rPr>
        <w:t>L’investissement des entreprises</w:t>
      </w:r>
    </w:p>
    <w:p w14:paraId="4F9692E3" w14:textId="69FB5C06" w:rsidR="00324AAF" w:rsidRPr="00324AAF" w:rsidRDefault="00324AAF" w:rsidP="00D87B38">
      <w:pPr>
        <w:pStyle w:val="Paragraphedeliste"/>
        <w:numPr>
          <w:ilvl w:val="0"/>
          <w:numId w:val="2"/>
        </w:numPr>
        <w:jc w:val="both"/>
        <w:rPr>
          <w:rFonts w:eastAsia="Times New Roman" w:cs="Arial"/>
          <w:kern w:val="36"/>
          <w:lang w:eastAsia="fr-FR"/>
        </w:rPr>
      </w:pPr>
      <w:r w:rsidRPr="00324AAF">
        <w:rPr>
          <w:rFonts w:eastAsia="Times New Roman" w:cs="Arial"/>
          <w:kern w:val="36"/>
          <w:lang w:eastAsia="fr-FR"/>
        </w:rPr>
        <w:t>La dépense publique</w:t>
      </w:r>
    </w:p>
    <w:p w14:paraId="361C0D81" w14:textId="72510D4A" w:rsidR="00324AAF" w:rsidRDefault="00324AAF" w:rsidP="00D87B38">
      <w:pPr>
        <w:pStyle w:val="Paragraphedeliste"/>
        <w:numPr>
          <w:ilvl w:val="0"/>
          <w:numId w:val="2"/>
        </w:numPr>
        <w:jc w:val="both"/>
        <w:rPr>
          <w:rFonts w:eastAsia="Times New Roman" w:cs="Arial"/>
          <w:kern w:val="36"/>
          <w:lang w:eastAsia="fr-FR"/>
        </w:rPr>
      </w:pPr>
      <w:r w:rsidRPr="00324AAF">
        <w:rPr>
          <w:rFonts w:eastAsia="Times New Roman" w:cs="Arial"/>
          <w:kern w:val="36"/>
          <w:lang w:eastAsia="fr-FR"/>
        </w:rPr>
        <w:t>La balance commerciale.</w:t>
      </w:r>
    </w:p>
    <w:p w14:paraId="681BD1D1" w14:textId="5E8DEDC6" w:rsidR="00442A93" w:rsidRPr="00442A93" w:rsidRDefault="00442A93" w:rsidP="00442A93">
      <w:pPr>
        <w:jc w:val="both"/>
        <w:rPr>
          <w:rFonts w:eastAsia="Times New Roman" w:cs="Arial"/>
          <w:b/>
          <w:bCs/>
          <w:kern w:val="36"/>
          <w:lang w:eastAsia="fr-FR"/>
        </w:rPr>
      </w:pPr>
      <w:r w:rsidRPr="00442A93">
        <w:rPr>
          <w:rFonts w:eastAsia="Times New Roman" w:cs="Arial"/>
          <w:b/>
          <w:bCs/>
          <w:kern w:val="36"/>
          <w:lang w:eastAsia="fr-FR"/>
        </w:rPr>
        <w:t xml:space="preserve">Situation de la croissance française </w:t>
      </w:r>
    </w:p>
    <w:p w14:paraId="19896044" w14:textId="62035C62" w:rsidR="00442A93" w:rsidRPr="00442A93" w:rsidRDefault="00442A93" w:rsidP="00442A93">
      <w:pPr>
        <w:jc w:val="both"/>
        <w:rPr>
          <w:rFonts w:eastAsia="Times New Roman" w:cs="Arial"/>
          <w:kern w:val="36"/>
          <w:lang w:eastAsia="fr-FR"/>
        </w:rPr>
      </w:pPr>
      <w:r>
        <w:rPr>
          <w:rFonts w:eastAsia="Times New Roman" w:cs="Arial"/>
          <w:kern w:val="36"/>
          <w:lang w:eastAsia="fr-FR"/>
        </w:rPr>
        <w:t>L’année 2020 a été marquée par une chute brutale de la croissance. En 2021, la très forte croissance enregistrée s’explique par un phénomène de rattrapage de l’économie. Depuis 2022, la croissance est toujours positive mais est ralentie.</w:t>
      </w:r>
    </w:p>
    <w:p w14:paraId="2E993680" w14:textId="2CD7E04D" w:rsidR="00257327" w:rsidRPr="00442A93" w:rsidRDefault="00442A93" w:rsidP="00442A93">
      <w:pPr>
        <w:pStyle w:val="Paragraphedeliste"/>
        <w:numPr>
          <w:ilvl w:val="0"/>
          <w:numId w:val="3"/>
        </w:numPr>
        <w:jc w:val="both"/>
        <w:rPr>
          <w:rFonts w:eastAsia="Times New Roman" w:cs="Arial"/>
          <w:b/>
          <w:bCs/>
          <w:kern w:val="36"/>
          <w:sz w:val="24"/>
          <w:szCs w:val="24"/>
          <w:lang w:eastAsia="fr-FR"/>
        </w:rPr>
      </w:pPr>
      <w:r w:rsidRPr="00442A93">
        <w:rPr>
          <w:rFonts w:eastAsia="Times New Roman" w:cs="Arial"/>
          <w:b/>
          <w:bCs/>
          <w:kern w:val="36"/>
          <w:sz w:val="24"/>
          <w:szCs w:val="24"/>
          <w:lang w:eastAsia="fr-FR"/>
        </w:rPr>
        <w:drawing>
          <wp:anchor distT="0" distB="0" distL="114300" distR="114300" simplePos="0" relativeHeight="251661312" behindDoc="0" locked="0" layoutInCell="1" allowOverlap="1" wp14:anchorId="34703A1D" wp14:editId="4253F0B1">
            <wp:simplePos x="0" y="0"/>
            <wp:positionH relativeFrom="column">
              <wp:posOffset>3176270</wp:posOffset>
            </wp:positionH>
            <wp:positionV relativeFrom="paragraph">
              <wp:posOffset>204470</wp:posOffset>
            </wp:positionV>
            <wp:extent cx="2795905" cy="2105025"/>
            <wp:effectExtent l="0" t="0" r="4445" b="9525"/>
            <wp:wrapNone/>
            <wp:docPr id="951598875" name="Image 3" descr="La balance commerciale française s'améliore depuis le début d'anné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alance commerciale française s'améliore depuis le début d'année 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90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327" w:rsidRPr="00442A93">
        <w:rPr>
          <w:rFonts w:eastAsia="Times New Roman" w:cs="Arial"/>
          <w:b/>
          <w:bCs/>
          <w:kern w:val="36"/>
          <w:sz w:val="24"/>
          <w:szCs w:val="24"/>
          <w:lang w:eastAsia="fr-FR"/>
        </w:rPr>
        <w:t>La balance commerciale</w:t>
      </w:r>
    </w:p>
    <w:p w14:paraId="3A7F451C" w14:textId="4131C178" w:rsidR="00257327" w:rsidRDefault="00EF2F7F">
      <w:pPr>
        <w:rPr>
          <w:rFonts w:eastAsia="Times New Roman" w:cs="Arial"/>
          <w:b/>
          <w:bCs/>
          <w:kern w:val="36"/>
          <w:sz w:val="24"/>
          <w:szCs w:val="24"/>
          <w:u w:val="single"/>
          <w:lang w:eastAsia="fr-FR"/>
        </w:rPr>
      </w:pPr>
      <w:r>
        <w:rPr>
          <w:rFonts w:eastAsia="Times New Roman" w:cs="Arial"/>
          <w:b/>
          <w:bCs/>
          <w:noProof/>
          <w:kern w:val="36"/>
          <w:sz w:val="24"/>
          <w:szCs w:val="24"/>
          <w:u w:val="single"/>
          <w:lang w:eastAsia="fr-FR"/>
        </w:rPr>
        <mc:AlternateContent>
          <mc:Choice Requires="wps">
            <w:drawing>
              <wp:anchor distT="0" distB="0" distL="114300" distR="114300" simplePos="0" relativeHeight="251659264" behindDoc="0" locked="0" layoutInCell="1" allowOverlap="1" wp14:anchorId="5E0401B9" wp14:editId="271F0E3F">
                <wp:simplePos x="0" y="0"/>
                <wp:positionH relativeFrom="column">
                  <wp:posOffset>-14605</wp:posOffset>
                </wp:positionH>
                <wp:positionV relativeFrom="paragraph">
                  <wp:posOffset>45085</wp:posOffset>
                </wp:positionV>
                <wp:extent cx="2876550" cy="19716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2876550" cy="1971675"/>
                        </a:xfrm>
                        <a:prstGeom prst="rect">
                          <a:avLst/>
                        </a:prstGeom>
                        <a:solidFill>
                          <a:schemeClr val="lt1"/>
                        </a:solidFill>
                        <a:ln w="6350">
                          <a:solidFill>
                            <a:prstClr val="black"/>
                          </a:solidFill>
                        </a:ln>
                      </wps:spPr>
                      <wps:txbx>
                        <w:txbxContent>
                          <w:p w14:paraId="3D5A2555" w14:textId="77777777" w:rsidR="00EF2F7F" w:rsidRDefault="00EF2F7F" w:rsidP="00EF2F7F">
                            <w:pPr>
                              <w:jc w:val="both"/>
                              <w:rPr>
                                <w:rFonts w:eastAsia="Times New Roman" w:cs="Arial"/>
                                <w:b/>
                                <w:bCs/>
                                <w:kern w:val="36"/>
                                <w:sz w:val="24"/>
                                <w:szCs w:val="24"/>
                                <w:u w:val="single"/>
                                <w:lang w:eastAsia="fr-FR"/>
                              </w:rPr>
                            </w:pPr>
                            <w:r>
                              <w:t>La balance commerciale des biens et services chiffre la différence entre les exportations des biens et services et les importations des biens et services.</w:t>
                            </w:r>
                          </w:p>
                          <w:p w14:paraId="57367BAB" w14:textId="0869D6FB" w:rsidR="00EF2F7F" w:rsidRDefault="00EF2F7F" w:rsidP="00EF2F7F">
                            <w:pPr>
                              <w:jc w:val="both"/>
                            </w:pPr>
                            <w:r>
                              <w:t>Une balance positive indique que les exportations dépassent en valeur les importations (excédent commercial). Une balance négative indique au contraire que les importations dépassent en valeur les exportations (déficit commercial).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401B9" id="_x0000_t202" coordsize="21600,21600" o:spt="202" path="m,l,21600r21600,l21600,xe">
                <v:stroke joinstyle="miter"/>
                <v:path gradientshapeok="t" o:connecttype="rect"/>
              </v:shapetype>
              <v:shape id="Zone de texte 2" o:spid="_x0000_s1026" type="#_x0000_t202" style="position:absolute;margin-left:-1.15pt;margin-top:3.55pt;width:226.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" fillcolor="white [3201]" strokeweight=".5pt">
                <v:textbox>
                  <w:txbxContent>
                    <w:p w14:paraId="3D5A2555" w14:textId="77777777" w:rsidR="00EF2F7F" w:rsidRDefault="00EF2F7F" w:rsidP="00EF2F7F">
                      <w:pPr>
                        <w:jc w:val="both"/>
                        <w:rPr>
                          <w:rFonts w:eastAsia="Times New Roman" w:cs="Arial"/>
                          <w:b/>
                          <w:bCs/>
                          <w:kern w:val="36"/>
                          <w:sz w:val="24"/>
                          <w:szCs w:val="24"/>
                          <w:u w:val="single"/>
                          <w:lang w:eastAsia="fr-FR"/>
                        </w:rPr>
                      </w:pPr>
                      <w:r>
                        <w:t>La balance commerciale des biens et services chiffre la différence entre les exportations des biens et services et les importations des biens et services.</w:t>
                      </w:r>
                    </w:p>
                    <w:p w14:paraId="57367BAB" w14:textId="0869D6FB" w:rsidR="00EF2F7F" w:rsidRDefault="00EF2F7F" w:rsidP="00EF2F7F">
                      <w:pPr>
                        <w:jc w:val="both"/>
                      </w:pPr>
                      <w:r>
                        <w:t>Une balance positive indique que les exportations dépassent en valeur les importations (excédent commercial). Une balance négative indique au contraire que les importations dépassent en valeur les exportations (déficit commercial).</w:t>
                      </w:r>
                    </w:p>
                  </w:txbxContent>
                </v:textbox>
              </v:shape>
            </w:pict>
          </mc:Fallback>
        </mc:AlternateContent>
      </w:r>
    </w:p>
    <w:p w14:paraId="55E9CCFA" w14:textId="72CFE1CB" w:rsidR="00EF2F7F" w:rsidRDefault="00EF2F7F">
      <w:pPr>
        <w:rPr>
          <w:rFonts w:eastAsia="Times New Roman" w:cs="Arial"/>
          <w:b/>
          <w:bCs/>
          <w:kern w:val="36"/>
          <w:sz w:val="24"/>
          <w:szCs w:val="24"/>
          <w:u w:val="single"/>
          <w:lang w:eastAsia="fr-FR"/>
        </w:rPr>
      </w:pPr>
    </w:p>
    <w:p w14:paraId="396BD634" w14:textId="79056161" w:rsidR="00EF2F7F" w:rsidRDefault="00EF2F7F">
      <w:pPr>
        <w:rPr>
          <w:rFonts w:eastAsia="Times New Roman" w:cs="Arial"/>
          <w:b/>
          <w:bCs/>
          <w:kern w:val="36"/>
          <w:sz w:val="24"/>
          <w:szCs w:val="24"/>
          <w:u w:val="single"/>
          <w:lang w:eastAsia="fr-FR"/>
        </w:rPr>
      </w:pPr>
    </w:p>
    <w:p w14:paraId="5E75B3EF" w14:textId="77777777" w:rsidR="00EF2F7F" w:rsidRDefault="00EF2F7F">
      <w:pPr>
        <w:rPr>
          <w:rFonts w:eastAsia="Times New Roman" w:cs="Arial"/>
          <w:b/>
          <w:bCs/>
          <w:kern w:val="36"/>
          <w:sz w:val="24"/>
          <w:szCs w:val="24"/>
          <w:u w:val="single"/>
          <w:lang w:eastAsia="fr-FR"/>
        </w:rPr>
      </w:pPr>
    </w:p>
    <w:p w14:paraId="56FBCCBA" w14:textId="44EA13A4" w:rsidR="00257327" w:rsidRDefault="00257327">
      <w:pPr>
        <w:rPr>
          <w:rFonts w:eastAsia="Times New Roman" w:cs="Arial"/>
          <w:b/>
          <w:bCs/>
          <w:kern w:val="36"/>
          <w:sz w:val="24"/>
          <w:szCs w:val="24"/>
          <w:u w:val="single"/>
          <w:lang w:eastAsia="fr-FR"/>
        </w:rPr>
      </w:pPr>
    </w:p>
    <w:p w14:paraId="43BF538B" w14:textId="22684BD2" w:rsidR="00EF2F7F" w:rsidRDefault="00EF2F7F">
      <w:pPr>
        <w:rPr>
          <w:rFonts w:eastAsia="Times New Roman" w:cs="Arial"/>
          <w:b/>
          <w:bCs/>
          <w:kern w:val="36"/>
          <w:sz w:val="24"/>
          <w:szCs w:val="24"/>
          <w:u w:val="single"/>
          <w:lang w:eastAsia="fr-FR"/>
        </w:rPr>
      </w:pPr>
    </w:p>
    <w:p w14:paraId="04BCFDF4" w14:textId="61671FA1" w:rsidR="00EF2F7F" w:rsidRDefault="00EF2F7F">
      <w:pPr>
        <w:rPr>
          <w:rFonts w:eastAsia="Times New Roman" w:cs="Arial"/>
          <w:b/>
          <w:bCs/>
          <w:kern w:val="36"/>
          <w:sz w:val="24"/>
          <w:szCs w:val="24"/>
          <w:u w:val="single"/>
          <w:lang w:eastAsia="fr-FR"/>
        </w:rPr>
      </w:pPr>
    </w:p>
    <w:p w14:paraId="4C3540D9" w14:textId="3205AB1C" w:rsidR="00EF2F7F" w:rsidRDefault="00EF2F7F" w:rsidP="00EF2F7F">
      <w:pPr>
        <w:spacing w:after="0"/>
        <w:rPr>
          <w:rFonts w:eastAsia="Times New Roman" w:cs="Arial"/>
          <w:b/>
          <w:bCs/>
          <w:kern w:val="36"/>
          <w:sz w:val="24"/>
          <w:szCs w:val="24"/>
          <w:u w:val="single"/>
          <w:lang w:eastAsia="fr-FR"/>
        </w:rPr>
      </w:pPr>
    </w:p>
    <w:p w14:paraId="6A6AA647" w14:textId="42061176" w:rsidR="00257327" w:rsidRPr="00442A93" w:rsidRDefault="00257327" w:rsidP="00442A93">
      <w:pPr>
        <w:pStyle w:val="Paragraphedeliste"/>
        <w:numPr>
          <w:ilvl w:val="0"/>
          <w:numId w:val="3"/>
        </w:numPr>
        <w:jc w:val="both"/>
        <w:rPr>
          <w:rFonts w:eastAsia="Times New Roman" w:cs="Arial"/>
          <w:b/>
          <w:bCs/>
          <w:kern w:val="36"/>
          <w:sz w:val="24"/>
          <w:szCs w:val="24"/>
          <w:lang w:eastAsia="fr-FR"/>
        </w:rPr>
      </w:pPr>
      <w:r w:rsidRPr="00442A93">
        <w:rPr>
          <w:rFonts w:eastAsia="Times New Roman" w:cs="Arial"/>
          <w:b/>
          <w:bCs/>
          <w:kern w:val="36"/>
          <w:sz w:val="24"/>
          <w:szCs w:val="24"/>
          <w:lang w:eastAsia="fr-FR"/>
        </w:rPr>
        <w:t>Les indicateurs alternatifs</w:t>
      </w:r>
    </w:p>
    <w:p w14:paraId="4DF27DFD" w14:textId="36EF7312" w:rsidR="00EF2F7F" w:rsidRDefault="00EF2F7F" w:rsidP="00EF2F7F">
      <w:pPr>
        <w:spacing w:after="0"/>
        <w:jc w:val="both"/>
        <w:rPr>
          <w:rFonts w:cs="Arial"/>
        </w:rPr>
      </w:pPr>
      <w:r w:rsidRPr="00EF2F7F">
        <w:rPr>
          <w:rFonts w:cs="Arial"/>
        </w:rPr>
        <w:t>L’indicateur de Développement Humain (</w:t>
      </w:r>
      <w:r w:rsidRPr="00EF2F7F">
        <w:rPr>
          <w:rFonts w:cs="Arial"/>
          <w:b/>
          <w:bCs/>
        </w:rPr>
        <w:t>IDH</w:t>
      </w:r>
      <w:r w:rsidRPr="00EF2F7F">
        <w:rPr>
          <w:rFonts w:cs="Arial"/>
        </w:rPr>
        <w:t>)</w:t>
      </w:r>
      <w:r>
        <w:rPr>
          <w:rFonts w:cs="Arial"/>
        </w:rPr>
        <w:t xml:space="preserve"> </w:t>
      </w:r>
      <w:r w:rsidRPr="00EF2F7F">
        <w:rPr>
          <w:rFonts w:cs="Arial"/>
        </w:rPr>
        <w:t>met l’accent sur l’être humain plutôt que sur la création de richesses. Il a été conçu par le Programme des Nations Unies pour le Développement (</w:t>
      </w:r>
      <w:r w:rsidRPr="00EF2F7F">
        <w:rPr>
          <w:rFonts w:cs="Arial"/>
          <w:b/>
          <w:bCs/>
        </w:rPr>
        <w:t>PNUD</w:t>
      </w:r>
      <w:r w:rsidRPr="00EF2F7F">
        <w:rPr>
          <w:rFonts w:cs="Arial"/>
        </w:rPr>
        <w:t>) afin de comparer le développement qualitatif, et pas seulement économique, des pays.</w:t>
      </w:r>
      <w:r w:rsidRPr="00EF2F7F">
        <w:rPr>
          <w:rFonts w:eastAsia="Times New Roman" w:cs="Arial"/>
          <w:b/>
          <w:bCs/>
          <w:kern w:val="36"/>
          <w:lang w:eastAsia="fr-FR"/>
        </w:rPr>
        <w:t xml:space="preserve"> </w:t>
      </w:r>
      <w:r w:rsidRPr="00EF2F7F">
        <w:rPr>
          <w:rFonts w:cs="Arial"/>
        </w:rPr>
        <w:t>Dans le cas de l’IDH, les trois composantes sont : l’espérance de vie à la naissance</w:t>
      </w:r>
      <w:r>
        <w:rPr>
          <w:rFonts w:cs="Arial"/>
        </w:rPr>
        <w:t>, l</w:t>
      </w:r>
      <w:r w:rsidRPr="00EF2F7F">
        <w:rPr>
          <w:rFonts w:cs="Arial"/>
        </w:rPr>
        <w:t>’accès à l’éducation</w:t>
      </w:r>
      <w:r>
        <w:rPr>
          <w:rFonts w:cs="Arial"/>
        </w:rPr>
        <w:t xml:space="preserve">, </w:t>
      </w:r>
      <w:r w:rsidRPr="00EF2F7F">
        <w:rPr>
          <w:rFonts w:cs="Arial"/>
        </w:rPr>
        <w:t>le PIB par habitant en parité de pouvoir d’achat</w:t>
      </w:r>
      <w:r>
        <w:rPr>
          <w:rFonts w:cs="Arial"/>
        </w:rPr>
        <w:t>.</w:t>
      </w:r>
    </w:p>
    <w:p w14:paraId="1B1E3D21" w14:textId="721BC851" w:rsidR="00EF2F7F" w:rsidRDefault="00EF2F7F" w:rsidP="00EF2F7F">
      <w:pPr>
        <w:spacing w:after="0"/>
        <w:jc w:val="both"/>
        <w:rPr>
          <w:rFonts w:cs="Arial"/>
        </w:rPr>
      </w:pPr>
    </w:p>
    <w:p w14:paraId="7AD47629" w14:textId="29ADF1C6" w:rsidR="00257327" w:rsidRPr="00EF2F7F" w:rsidRDefault="00EF2F7F" w:rsidP="00EF2F7F">
      <w:pPr>
        <w:spacing w:after="0"/>
        <w:jc w:val="both"/>
        <w:rPr>
          <w:rFonts w:cs="Arial"/>
        </w:rPr>
      </w:pPr>
      <w:r>
        <w:rPr>
          <w:rFonts w:cs="Arial"/>
        </w:rPr>
        <w:t xml:space="preserve">D’autres indicateurs prennent en considération le bonheur, l’environnement… L’objectif étant de sortir de la vision purement économique du PIB et d’analyser les interactions de l’Homme sur son environnement. </w:t>
      </w:r>
    </w:p>
    <w:sectPr w:rsidR="00257327" w:rsidRPr="00EF2F7F" w:rsidSect="00442A93">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0DCB" w14:textId="77777777" w:rsidR="00A36BBB" w:rsidRDefault="00A36BBB" w:rsidP="00EF2F7F">
      <w:pPr>
        <w:spacing w:after="0" w:line="240" w:lineRule="auto"/>
      </w:pPr>
      <w:r>
        <w:separator/>
      </w:r>
    </w:p>
  </w:endnote>
  <w:endnote w:type="continuationSeparator" w:id="0">
    <w:p w14:paraId="3C83E94C" w14:textId="77777777" w:rsidR="00A36BBB" w:rsidRDefault="00A36BBB" w:rsidP="00EF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C719" w14:textId="08DBF633" w:rsidR="00C54D8C" w:rsidRDefault="00C54D8C">
    <w:pPr>
      <w:pStyle w:val="Pieddepage"/>
      <w:jc w:val="right"/>
    </w:pPr>
    <w:r>
      <w:rPr>
        <w:color w:val="4472C4" w:themeColor="accent1"/>
        <w:sz w:val="20"/>
        <w:szCs w:val="20"/>
      </w:rPr>
      <w:t xml:space="preserve">PREMIERE – ECONOMIE – DROIT – DOSSIER 5 – SYNTHESE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81D0316" w14:textId="77777777" w:rsidR="00C54D8C" w:rsidRDefault="00C54D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EA8B" w14:textId="77777777" w:rsidR="00A36BBB" w:rsidRDefault="00A36BBB" w:rsidP="00EF2F7F">
      <w:pPr>
        <w:spacing w:after="0" w:line="240" w:lineRule="auto"/>
      </w:pPr>
      <w:r>
        <w:separator/>
      </w:r>
    </w:p>
  </w:footnote>
  <w:footnote w:type="continuationSeparator" w:id="0">
    <w:p w14:paraId="19BAD79D" w14:textId="77777777" w:rsidR="00A36BBB" w:rsidRDefault="00A36BBB" w:rsidP="00EF2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94FEB"/>
    <w:multiLevelType w:val="hybridMultilevel"/>
    <w:tmpl w:val="7DD0F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3C4051"/>
    <w:multiLevelType w:val="hybridMultilevel"/>
    <w:tmpl w:val="63E0FA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5B5AA4"/>
    <w:multiLevelType w:val="hybridMultilevel"/>
    <w:tmpl w:val="20E67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024404">
    <w:abstractNumId w:val="0"/>
  </w:num>
  <w:num w:numId="2" w16cid:durableId="477919101">
    <w:abstractNumId w:val="2"/>
  </w:num>
  <w:num w:numId="3" w16cid:durableId="63094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27"/>
    <w:rsid w:val="00257327"/>
    <w:rsid w:val="00324AAF"/>
    <w:rsid w:val="00442A93"/>
    <w:rsid w:val="005E4B2B"/>
    <w:rsid w:val="00A305F5"/>
    <w:rsid w:val="00A36BBB"/>
    <w:rsid w:val="00B524A7"/>
    <w:rsid w:val="00BB0756"/>
    <w:rsid w:val="00C54D8C"/>
    <w:rsid w:val="00D12A37"/>
    <w:rsid w:val="00D81EC2"/>
    <w:rsid w:val="00D87B38"/>
    <w:rsid w:val="00EF2F7F"/>
    <w:rsid w:val="00F26346"/>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D06B"/>
  <w15:chartTrackingRefBased/>
  <w15:docId w15:val="{E1EDC97E-E1A8-467E-89BD-9AB199DF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57327"/>
    <w:rPr>
      <w:b/>
      <w:bCs/>
    </w:rPr>
  </w:style>
  <w:style w:type="paragraph" w:styleId="NormalWeb">
    <w:name w:val="Normal (Web)"/>
    <w:basedOn w:val="Normal"/>
    <w:uiPriority w:val="99"/>
    <w:unhideWhenUsed/>
    <w:rsid w:val="0025732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5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a">
    <w:name w:val="zeta"/>
    <w:basedOn w:val="Normal"/>
    <w:rsid w:val="002573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24AAF"/>
    <w:pPr>
      <w:ind w:left="720"/>
      <w:contextualSpacing/>
    </w:pPr>
  </w:style>
  <w:style w:type="paragraph" w:styleId="En-tte">
    <w:name w:val="header"/>
    <w:basedOn w:val="Normal"/>
    <w:link w:val="En-tteCar"/>
    <w:uiPriority w:val="99"/>
    <w:unhideWhenUsed/>
    <w:rsid w:val="00EF2F7F"/>
    <w:pPr>
      <w:tabs>
        <w:tab w:val="center" w:pos="4536"/>
        <w:tab w:val="right" w:pos="9072"/>
      </w:tabs>
      <w:spacing w:after="0" w:line="240" w:lineRule="auto"/>
    </w:pPr>
  </w:style>
  <w:style w:type="character" w:customStyle="1" w:styleId="En-tteCar">
    <w:name w:val="En-tête Car"/>
    <w:basedOn w:val="Policepardfaut"/>
    <w:link w:val="En-tte"/>
    <w:uiPriority w:val="99"/>
    <w:rsid w:val="00EF2F7F"/>
  </w:style>
  <w:style w:type="paragraph" w:styleId="Pieddepage">
    <w:name w:val="footer"/>
    <w:basedOn w:val="Normal"/>
    <w:link w:val="PieddepageCar"/>
    <w:uiPriority w:val="99"/>
    <w:unhideWhenUsed/>
    <w:rsid w:val="00EF2F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99808">
      <w:bodyDiv w:val="1"/>
      <w:marLeft w:val="0"/>
      <w:marRight w:val="0"/>
      <w:marTop w:val="0"/>
      <w:marBottom w:val="0"/>
      <w:divBdr>
        <w:top w:val="none" w:sz="0" w:space="0" w:color="auto"/>
        <w:left w:val="none" w:sz="0" w:space="0" w:color="auto"/>
        <w:bottom w:val="none" w:sz="0" w:space="0" w:color="auto"/>
        <w:right w:val="none" w:sz="0" w:space="0" w:color="auto"/>
      </w:divBdr>
    </w:div>
    <w:div w:id="1722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6B33-742E-40FD-BD57-48465D31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 – ECONOMIE – DROIT – THEME 4 - SYNTHESE</dc:creator>
  <cp:keywords/>
  <dc:description/>
  <cp:lastModifiedBy>JEREMY SENABRE</cp:lastModifiedBy>
  <cp:revision>3</cp:revision>
  <cp:lastPrinted>2020-08-16T10:17:00Z</cp:lastPrinted>
  <dcterms:created xsi:type="dcterms:W3CDTF">2024-06-23T09:18:00Z</dcterms:created>
  <dcterms:modified xsi:type="dcterms:W3CDTF">2024-06-23T09:18:00Z</dcterms:modified>
</cp:coreProperties>
</file>