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6442B6" w:rsidRPr="00E468C0" w14:paraId="663EE2B3" w14:textId="77777777" w:rsidTr="00D05DA3">
        <w:tc>
          <w:tcPr>
            <w:tcW w:w="4530" w:type="dxa"/>
            <w:shd w:val="clear" w:color="auto" w:fill="F2F2F2" w:themeFill="background1" w:themeFillShade="F2"/>
          </w:tcPr>
          <w:p w14:paraId="34B10E71" w14:textId="77777777" w:rsidR="006442B6" w:rsidRPr="00E468C0" w:rsidRDefault="006442B6" w:rsidP="00D05DA3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</w:pPr>
            <w:r w:rsidRPr="00E468C0"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  <w:t>Première baccalauréat professionnel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0783CC3D" w14:textId="078EBEB2" w:rsidR="006442B6" w:rsidRPr="00E468C0" w:rsidRDefault="006442B6" w:rsidP="00D05DA3">
            <w:pPr>
              <w:spacing w:before="120"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  <w:t xml:space="preserve">DOSSIER 3 </w:t>
            </w: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6666"/>
                <w:kern w:val="36"/>
                <w:lang w:eastAsia="fr-FR"/>
              </w:rPr>
              <w:t>DEVOIR MAISON</w:t>
            </w:r>
          </w:p>
        </w:tc>
      </w:tr>
      <w:tr w:rsidR="006442B6" w:rsidRPr="00E468C0" w14:paraId="21A1AA62" w14:textId="77777777" w:rsidTr="00D05DA3">
        <w:tc>
          <w:tcPr>
            <w:tcW w:w="9351" w:type="dxa"/>
            <w:gridSpan w:val="2"/>
          </w:tcPr>
          <w:p w14:paraId="158BE31E" w14:textId="77777777" w:rsidR="006442B6" w:rsidRPr="00E468C0" w:rsidRDefault="006442B6" w:rsidP="00D05DA3">
            <w:pPr>
              <w:contextualSpacing/>
              <w:jc w:val="both"/>
              <w:outlineLvl w:val="0"/>
              <w:rPr>
                <w:rFonts w:ascii="Arial" w:hAnsi="Arial" w:cs="Arial"/>
              </w:rPr>
            </w:pPr>
            <w:r w:rsidRPr="00E468C0">
              <w:rPr>
                <w:rFonts w:ascii="Arial" w:hAnsi="Arial" w:cs="Arial"/>
                <w:b/>
                <w:bCs/>
              </w:rPr>
              <w:t>Question : pourquoi l’entreprise doit-elle dépasser la seule performance économique</w:t>
            </w:r>
            <w:r w:rsidRPr="00E468C0">
              <w:rPr>
                <w:rFonts w:ascii="Arial" w:hAnsi="Arial" w:cs="Arial"/>
              </w:rPr>
              <w:t xml:space="preserve"> ?</w:t>
            </w:r>
          </w:p>
          <w:p w14:paraId="3294B391" w14:textId="77777777" w:rsidR="006442B6" w:rsidRPr="00E468C0" w:rsidRDefault="006442B6" w:rsidP="006442B6">
            <w:pPr>
              <w:pStyle w:val="Paragraphedeliste"/>
              <w:numPr>
                <w:ilvl w:val="0"/>
                <w:numId w:val="1"/>
              </w:numPr>
              <w:jc w:val="both"/>
              <w:outlineLvl w:val="0"/>
              <w:rPr>
                <w:rFonts w:cs="Arial"/>
              </w:rPr>
            </w:pPr>
            <w:r w:rsidRPr="00E468C0">
              <w:rPr>
                <w:rFonts w:cs="Arial"/>
              </w:rPr>
              <w:t>Identifier les dimensions sociale et environnementale de la performance</w:t>
            </w:r>
          </w:p>
          <w:p w14:paraId="0DB987F6" w14:textId="77777777" w:rsidR="006442B6" w:rsidRPr="00E468C0" w:rsidRDefault="006442B6" w:rsidP="006442B6">
            <w:pPr>
              <w:pStyle w:val="Paragraphedeliste"/>
              <w:numPr>
                <w:ilvl w:val="0"/>
                <w:numId w:val="1"/>
              </w:numPr>
              <w:jc w:val="both"/>
              <w:outlineLvl w:val="0"/>
              <w:rPr>
                <w:rFonts w:eastAsia="Times New Roman" w:cs="Arial"/>
                <w:b/>
                <w:bCs/>
                <w:kern w:val="36"/>
                <w:lang w:eastAsia="fr-FR"/>
              </w:rPr>
            </w:pPr>
            <w:r w:rsidRPr="00E468C0">
              <w:rPr>
                <w:rFonts w:cs="Arial"/>
              </w:rPr>
              <w:t>Expliciter les raisons d’entrer dans une démarche de RSE pour une entreprise</w:t>
            </w:r>
          </w:p>
        </w:tc>
      </w:tr>
      <w:tr w:rsidR="006442B6" w:rsidRPr="00311C06" w14:paraId="1D4AA042" w14:textId="77777777" w:rsidTr="00D05DA3">
        <w:tc>
          <w:tcPr>
            <w:tcW w:w="9351" w:type="dxa"/>
            <w:gridSpan w:val="2"/>
          </w:tcPr>
          <w:p w14:paraId="5212260D" w14:textId="77777777" w:rsidR="006442B6" w:rsidRPr="00311C06" w:rsidRDefault="006442B6" w:rsidP="00D05DA3">
            <w:pPr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311C06">
              <w:rPr>
                <w:rFonts w:ascii="Arial" w:hAnsi="Arial" w:cs="Arial"/>
                <w:b/>
                <w:bCs/>
              </w:rPr>
              <w:t xml:space="preserve">NOM : </w:t>
            </w:r>
            <w:r w:rsidRPr="00311C06">
              <w:rPr>
                <w:rFonts w:ascii="Arial" w:hAnsi="Arial" w:cs="Arial"/>
                <w:b/>
                <w:bCs/>
              </w:rPr>
              <w:tab/>
            </w:r>
            <w:r w:rsidRPr="00311C06">
              <w:rPr>
                <w:rFonts w:ascii="Arial" w:hAnsi="Arial" w:cs="Arial"/>
                <w:b/>
                <w:bCs/>
              </w:rPr>
              <w:tab/>
            </w:r>
            <w:r w:rsidRPr="00311C06">
              <w:rPr>
                <w:rFonts w:ascii="Arial" w:hAnsi="Arial" w:cs="Arial"/>
                <w:b/>
                <w:bCs/>
              </w:rPr>
              <w:tab/>
            </w:r>
            <w:r w:rsidRPr="00311C06">
              <w:rPr>
                <w:rFonts w:ascii="Arial" w:hAnsi="Arial" w:cs="Arial"/>
                <w:b/>
                <w:bCs/>
              </w:rPr>
              <w:tab/>
            </w:r>
            <w:r w:rsidRPr="00311C06">
              <w:rPr>
                <w:rFonts w:ascii="Arial" w:hAnsi="Arial" w:cs="Arial"/>
                <w:b/>
                <w:bCs/>
              </w:rPr>
              <w:tab/>
            </w:r>
            <w:r w:rsidRPr="00311C06">
              <w:rPr>
                <w:rFonts w:ascii="Arial" w:hAnsi="Arial" w:cs="Arial"/>
                <w:b/>
                <w:bCs/>
              </w:rPr>
              <w:tab/>
              <w:t>PRÉNOM :</w:t>
            </w:r>
          </w:p>
        </w:tc>
      </w:tr>
      <w:tr w:rsidR="006442B6" w:rsidRPr="00311C06" w14:paraId="6768A15F" w14:textId="77777777" w:rsidTr="00D05DA3">
        <w:tc>
          <w:tcPr>
            <w:tcW w:w="9351" w:type="dxa"/>
            <w:gridSpan w:val="2"/>
          </w:tcPr>
          <w:p w14:paraId="52F2CE28" w14:textId="77777777" w:rsidR="006442B6" w:rsidRPr="00311C06" w:rsidRDefault="006442B6" w:rsidP="00D05DA3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311C06">
              <w:rPr>
                <w:rFonts w:ascii="Arial" w:hAnsi="Arial" w:cs="Arial"/>
                <w:b/>
                <w:bCs/>
              </w:rPr>
              <w:t>NOTE SUR 20 ET OBSERVATIONS :</w:t>
            </w:r>
          </w:p>
          <w:p w14:paraId="47DBA7A0" w14:textId="77777777" w:rsidR="006442B6" w:rsidRPr="00311C06" w:rsidRDefault="006442B6" w:rsidP="00D05DA3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14:paraId="50BA8FD2" w14:textId="77777777" w:rsidR="006442B6" w:rsidRPr="00311C06" w:rsidRDefault="006442B6" w:rsidP="00D05DA3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  <w:p w14:paraId="3CAA2C0C" w14:textId="449920BC" w:rsidR="006442B6" w:rsidRPr="00311C06" w:rsidRDefault="006442B6" w:rsidP="00D05DA3">
            <w:pPr>
              <w:contextualSpacing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B4F6083" w14:textId="77777777" w:rsidR="006442B6" w:rsidRDefault="006442B6" w:rsidP="006442B6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0F535B14" w14:textId="4189B772" w:rsidR="0022676E" w:rsidRPr="006442B6" w:rsidRDefault="0022676E" w:rsidP="006442B6">
      <w:pPr>
        <w:jc w:val="center"/>
        <w:rPr>
          <w:rFonts w:ascii="Arial" w:hAnsi="Arial" w:cs="Arial"/>
          <w:b/>
          <w:bCs/>
          <w:color w:val="006666"/>
          <w:sz w:val="32"/>
          <w:szCs w:val="32"/>
        </w:rPr>
      </w:pPr>
      <w:r w:rsidRPr="006442B6">
        <w:rPr>
          <w:rFonts w:ascii="Arial" w:hAnsi="Arial" w:cs="Arial"/>
          <w:b/>
          <w:bCs/>
          <w:color w:val="006666"/>
          <w:sz w:val="32"/>
          <w:szCs w:val="32"/>
        </w:rPr>
        <w:t>Contexte professionnel</w:t>
      </w:r>
    </w:p>
    <w:p w14:paraId="0BD9C019" w14:textId="77777777" w:rsidR="00692D8C" w:rsidRPr="006442B6" w:rsidRDefault="0022676E" w:rsidP="0022676E">
      <w:pPr>
        <w:jc w:val="both"/>
        <w:rPr>
          <w:rFonts w:ascii="Arial" w:hAnsi="Arial" w:cs="Arial"/>
        </w:rPr>
      </w:pPr>
      <w:r w:rsidRPr="006442B6">
        <w:rPr>
          <w:rFonts w:ascii="Arial" w:hAnsi="Arial" w:cs="Arial"/>
          <w:b/>
          <w:bCs/>
        </w:rPr>
        <w:t xml:space="preserve">STEF </w:t>
      </w:r>
      <w:r w:rsidRPr="006442B6">
        <w:rPr>
          <w:rFonts w:ascii="Arial" w:hAnsi="Arial" w:cs="Arial"/>
        </w:rPr>
        <w:t xml:space="preserve">est une entreprise </w:t>
      </w:r>
      <w:hyperlink r:id="rId7" w:tooltip="France" w:history="1">
        <w:r w:rsidRPr="006442B6">
          <w:rPr>
            <w:rFonts w:ascii="Arial" w:hAnsi="Arial" w:cs="Arial"/>
          </w:rPr>
          <w:t>française</w:t>
        </w:r>
      </w:hyperlink>
      <w:r w:rsidRPr="006442B6">
        <w:rPr>
          <w:rFonts w:ascii="Arial" w:hAnsi="Arial" w:cs="Arial"/>
        </w:rPr>
        <w:t xml:space="preserve"> de logistique sous température dirigée, spécialisée dans le </w:t>
      </w:r>
      <w:hyperlink r:id="rId8" w:tooltip="Transport" w:history="1">
        <w:r w:rsidRPr="006442B6">
          <w:rPr>
            <w:rFonts w:ascii="Arial" w:hAnsi="Arial" w:cs="Arial"/>
          </w:rPr>
          <w:t>transport</w:t>
        </w:r>
      </w:hyperlink>
      <w:r w:rsidRPr="006442B6">
        <w:rPr>
          <w:rFonts w:ascii="Arial" w:hAnsi="Arial" w:cs="Arial"/>
        </w:rPr>
        <w:t xml:space="preserve"> et la </w:t>
      </w:r>
      <w:hyperlink r:id="rId9" w:tooltip="Logistique" w:history="1">
        <w:r w:rsidRPr="006442B6">
          <w:rPr>
            <w:rFonts w:ascii="Arial" w:hAnsi="Arial" w:cs="Arial"/>
          </w:rPr>
          <w:t>logistique</w:t>
        </w:r>
      </w:hyperlink>
      <w:r w:rsidRPr="006442B6">
        <w:rPr>
          <w:rFonts w:ascii="Arial" w:hAnsi="Arial" w:cs="Arial"/>
        </w:rPr>
        <w:t xml:space="preserve"> pour tous les produits agroalimentaires (frais, </w:t>
      </w:r>
      <w:hyperlink r:id="rId10" w:tooltip="Surgelé" w:history="1">
        <w:r w:rsidRPr="006442B6">
          <w:rPr>
            <w:rFonts w:ascii="Arial" w:hAnsi="Arial" w:cs="Arial"/>
          </w:rPr>
          <w:t>surgelés</w:t>
        </w:r>
      </w:hyperlink>
      <w:r w:rsidRPr="006442B6">
        <w:rPr>
          <w:rFonts w:ascii="Arial" w:hAnsi="Arial" w:cs="Arial"/>
        </w:rPr>
        <w:t xml:space="preserve"> ambiant). Elle emploie 22 000 salariés dans 8 pays européens (</w:t>
      </w:r>
      <w:hyperlink r:id="rId11" w:tooltip="France" w:history="1">
        <w:r w:rsidRPr="006442B6">
          <w:rPr>
            <w:rFonts w:ascii="Arial" w:hAnsi="Arial" w:cs="Arial"/>
          </w:rPr>
          <w:t>France</w:t>
        </w:r>
      </w:hyperlink>
      <w:r w:rsidRPr="006442B6">
        <w:rPr>
          <w:rFonts w:ascii="Arial" w:hAnsi="Arial" w:cs="Arial"/>
        </w:rPr>
        <w:t xml:space="preserve">, </w:t>
      </w:r>
      <w:hyperlink r:id="rId12" w:tooltip="Italie" w:history="1">
        <w:r w:rsidRPr="006442B6">
          <w:rPr>
            <w:rFonts w:ascii="Arial" w:hAnsi="Arial" w:cs="Arial"/>
          </w:rPr>
          <w:t>Italie</w:t>
        </w:r>
      </w:hyperlink>
      <w:r w:rsidRPr="006442B6">
        <w:rPr>
          <w:rFonts w:ascii="Arial" w:hAnsi="Arial" w:cs="Arial"/>
        </w:rPr>
        <w:t xml:space="preserve">, </w:t>
      </w:r>
      <w:hyperlink r:id="rId13" w:tooltip="Espagne" w:history="1">
        <w:r w:rsidRPr="006442B6">
          <w:rPr>
            <w:rFonts w:ascii="Arial" w:hAnsi="Arial" w:cs="Arial"/>
          </w:rPr>
          <w:t>Espagne</w:t>
        </w:r>
      </w:hyperlink>
      <w:r w:rsidRPr="006442B6">
        <w:rPr>
          <w:rFonts w:ascii="Arial" w:hAnsi="Arial" w:cs="Arial"/>
        </w:rPr>
        <w:t xml:space="preserve">, </w:t>
      </w:r>
      <w:hyperlink r:id="rId14" w:tooltip="Portugal" w:history="1">
        <w:r w:rsidRPr="006442B6">
          <w:rPr>
            <w:rFonts w:ascii="Arial" w:hAnsi="Arial" w:cs="Arial"/>
          </w:rPr>
          <w:t>Portugal</w:t>
        </w:r>
      </w:hyperlink>
      <w:r w:rsidRPr="006442B6">
        <w:rPr>
          <w:rFonts w:ascii="Arial" w:hAnsi="Arial" w:cs="Arial"/>
        </w:rPr>
        <w:t xml:space="preserve">, </w:t>
      </w:r>
      <w:hyperlink r:id="rId15" w:tooltip="Pays-Bas" w:history="1">
        <w:r w:rsidRPr="006442B6">
          <w:rPr>
            <w:rFonts w:ascii="Arial" w:hAnsi="Arial" w:cs="Arial"/>
          </w:rPr>
          <w:t>Pays-Bas</w:t>
        </w:r>
      </w:hyperlink>
      <w:r w:rsidRPr="006442B6">
        <w:rPr>
          <w:rFonts w:ascii="Arial" w:hAnsi="Arial" w:cs="Arial"/>
        </w:rPr>
        <w:t xml:space="preserve">, </w:t>
      </w:r>
      <w:hyperlink r:id="rId16" w:tooltip="Belgique" w:history="1">
        <w:r w:rsidRPr="006442B6">
          <w:rPr>
            <w:rFonts w:ascii="Arial" w:hAnsi="Arial" w:cs="Arial"/>
          </w:rPr>
          <w:t>Belgique</w:t>
        </w:r>
      </w:hyperlink>
      <w:r w:rsidRPr="006442B6">
        <w:rPr>
          <w:rFonts w:ascii="Arial" w:hAnsi="Arial" w:cs="Arial"/>
        </w:rPr>
        <w:t xml:space="preserve">, </w:t>
      </w:r>
      <w:hyperlink r:id="rId17" w:tooltip="Royaume-Uni" w:history="1">
        <w:r w:rsidRPr="006442B6">
          <w:rPr>
            <w:rFonts w:ascii="Arial" w:hAnsi="Arial" w:cs="Arial"/>
          </w:rPr>
          <w:t>Royaume-Uni</w:t>
        </w:r>
      </w:hyperlink>
      <w:r w:rsidRPr="006442B6">
        <w:rPr>
          <w:rFonts w:ascii="Arial" w:hAnsi="Arial" w:cs="Arial"/>
        </w:rPr>
        <w:t xml:space="preserve">, </w:t>
      </w:r>
      <w:hyperlink r:id="rId18" w:tooltip="Suisse" w:history="1">
        <w:r w:rsidRPr="006442B6">
          <w:rPr>
            <w:rFonts w:ascii="Arial" w:hAnsi="Arial" w:cs="Arial"/>
          </w:rPr>
          <w:t>Suisse</w:t>
        </w:r>
      </w:hyperlink>
      <w:r w:rsidRPr="006442B6">
        <w:rPr>
          <w:rFonts w:ascii="Arial" w:hAnsi="Arial" w:cs="Arial"/>
        </w:rPr>
        <w:t xml:space="preserve">) pour un </w:t>
      </w:r>
      <w:hyperlink r:id="rId19" w:tooltip="Chiffre d’affaires" w:history="1">
        <w:r w:rsidRPr="006442B6">
          <w:rPr>
            <w:rFonts w:ascii="Arial" w:hAnsi="Arial" w:cs="Arial"/>
          </w:rPr>
          <w:t>chiffre d’affaires</w:t>
        </w:r>
      </w:hyperlink>
      <w:r w:rsidRPr="006442B6">
        <w:rPr>
          <w:rFonts w:ascii="Arial" w:hAnsi="Arial" w:cs="Arial"/>
        </w:rPr>
        <w:t xml:space="preserve"> de 4 442 M€ en 2023.</w:t>
      </w:r>
    </w:p>
    <w:p w14:paraId="3BAB2A8B" w14:textId="1F5BBFB6" w:rsidR="0022676E" w:rsidRPr="006442B6" w:rsidRDefault="0022676E" w:rsidP="0022676E">
      <w:pPr>
        <w:jc w:val="both"/>
        <w:rPr>
          <w:rStyle w:val="lev"/>
          <w:rFonts w:ascii="Arial" w:hAnsi="Arial" w:cs="Arial"/>
          <w:b w:val="0"/>
          <w:bCs w:val="0"/>
        </w:rPr>
      </w:pPr>
      <w:r w:rsidRPr="006442B6">
        <w:rPr>
          <w:rStyle w:val="lev"/>
          <w:rFonts w:ascii="Arial" w:hAnsi="Arial" w:cs="Arial"/>
          <w:b w:val="0"/>
          <w:bCs w:val="0"/>
        </w:rPr>
        <w:t xml:space="preserve">Depuis plus de 20 ans, le </w:t>
      </w:r>
      <w:r w:rsidR="006442B6" w:rsidRPr="006442B6">
        <w:rPr>
          <w:rStyle w:val="lev"/>
          <w:rFonts w:ascii="Arial" w:hAnsi="Arial" w:cs="Arial"/>
          <w:b w:val="0"/>
          <w:bCs w:val="0"/>
        </w:rPr>
        <w:t>g</w:t>
      </w:r>
      <w:r w:rsidRPr="006442B6">
        <w:rPr>
          <w:rStyle w:val="lev"/>
          <w:rFonts w:ascii="Arial" w:hAnsi="Arial" w:cs="Arial"/>
          <w:b w:val="0"/>
          <w:bCs w:val="0"/>
        </w:rPr>
        <w:t xml:space="preserve">roupe s’attache à développer ses activités en conciliant développement économique, respect de la sécurité sanitaire, responsabilité sociale et respect des grands équilibres environnementaux. Vous souhaitez vous renseigner sur la politique RSE du groupe. </w:t>
      </w:r>
    </w:p>
    <w:p w14:paraId="308BD776" w14:textId="77777777" w:rsidR="0022676E" w:rsidRPr="006442B6" w:rsidRDefault="0022676E" w:rsidP="0022676E">
      <w:pPr>
        <w:jc w:val="both"/>
        <w:rPr>
          <w:rStyle w:val="lev"/>
          <w:rFonts w:ascii="Arial" w:hAnsi="Arial" w:cs="Arial"/>
          <w:sz w:val="24"/>
          <w:szCs w:val="24"/>
        </w:rPr>
      </w:pPr>
      <w:r w:rsidRPr="006442B6">
        <w:rPr>
          <w:rStyle w:val="lev"/>
          <w:rFonts w:ascii="Arial" w:hAnsi="Arial" w:cs="Arial"/>
          <w:sz w:val="24"/>
          <w:szCs w:val="24"/>
        </w:rPr>
        <w:t>Votre travail :</w:t>
      </w:r>
    </w:p>
    <w:p w14:paraId="7FD58FD9" w14:textId="19CE702F" w:rsidR="0022676E" w:rsidRPr="006442B6" w:rsidRDefault="0022676E" w:rsidP="0022676E">
      <w:pPr>
        <w:jc w:val="both"/>
        <w:rPr>
          <w:rFonts w:ascii="Arial" w:hAnsi="Arial" w:cs="Arial"/>
        </w:rPr>
      </w:pPr>
      <w:r w:rsidRPr="006442B6">
        <w:rPr>
          <w:rFonts w:ascii="Arial" w:hAnsi="Arial" w:cs="Arial"/>
        </w:rPr>
        <w:t xml:space="preserve">Rendez-vous sur le site internet de l’entreprise </w:t>
      </w:r>
      <w:hyperlink r:id="rId20" w:history="1">
        <w:r w:rsidRPr="006442B6">
          <w:rPr>
            <w:rStyle w:val="Lienhypertexte"/>
            <w:rFonts w:ascii="Arial" w:hAnsi="Arial" w:cs="Arial"/>
          </w:rPr>
          <w:t>https://www.stef.com/corporate/fr/nos-engagements-rse</w:t>
        </w:r>
      </w:hyperlink>
      <w:r w:rsidRPr="006442B6">
        <w:rPr>
          <w:rFonts w:ascii="Arial" w:hAnsi="Arial" w:cs="Arial"/>
        </w:rPr>
        <w:t xml:space="preserve"> et repérez dans le tableau ci-dessous </w:t>
      </w:r>
      <w:r w:rsidR="006442B6">
        <w:rPr>
          <w:rFonts w:ascii="Arial" w:hAnsi="Arial" w:cs="Arial"/>
        </w:rPr>
        <w:t>les</w:t>
      </w:r>
      <w:r w:rsidRPr="006442B6">
        <w:rPr>
          <w:rFonts w:ascii="Arial" w:hAnsi="Arial" w:cs="Arial"/>
        </w:rPr>
        <w:t xml:space="preserve"> actions concrètes du groupe STEF en faveur de l’emploi, de la protection de l’environnement et des ressources et de l’évolution de ses salariés. </w:t>
      </w:r>
    </w:p>
    <w:p w14:paraId="3EFC6AB3" w14:textId="77777777" w:rsidR="0022676E" w:rsidRDefault="0022676E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7364"/>
      </w:tblGrid>
      <w:tr w:rsidR="0022676E" w14:paraId="4D844193" w14:textId="77777777" w:rsidTr="006442B6">
        <w:tc>
          <w:tcPr>
            <w:tcW w:w="2694" w:type="dxa"/>
          </w:tcPr>
          <w:p w14:paraId="74961A09" w14:textId="77777777" w:rsidR="0022676E" w:rsidRPr="006442B6" w:rsidRDefault="0022676E" w:rsidP="006442B6">
            <w:pPr>
              <w:spacing w:before="900" w:after="9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42B6">
              <w:rPr>
                <w:rFonts w:ascii="Arial" w:hAnsi="Arial" w:cs="Arial"/>
                <w:sz w:val="28"/>
                <w:szCs w:val="28"/>
              </w:rPr>
              <w:t xml:space="preserve">Actions en faveur de l’emploi </w:t>
            </w:r>
          </w:p>
        </w:tc>
        <w:tc>
          <w:tcPr>
            <w:tcW w:w="7364" w:type="dxa"/>
          </w:tcPr>
          <w:p w14:paraId="3D71B046" w14:textId="77777777" w:rsidR="0022676E" w:rsidRDefault="0022676E" w:rsidP="006442B6">
            <w:pPr>
              <w:spacing w:before="900" w:after="900"/>
            </w:pPr>
          </w:p>
        </w:tc>
      </w:tr>
      <w:tr w:rsidR="0022676E" w14:paraId="30A7B88A" w14:textId="77777777" w:rsidTr="006442B6">
        <w:tc>
          <w:tcPr>
            <w:tcW w:w="2694" w:type="dxa"/>
          </w:tcPr>
          <w:p w14:paraId="65D47D91" w14:textId="01F98425" w:rsidR="0022676E" w:rsidRPr="006442B6" w:rsidRDefault="0022676E" w:rsidP="006442B6">
            <w:pPr>
              <w:spacing w:before="900" w:after="9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42B6">
              <w:rPr>
                <w:rFonts w:ascii="Arial" w:hAnsi="Arial" w:cs="Arial"/>
                <w:sz w:val="28"/>
                <w:szCs w:val="28"/>
              </w:rPr>
              <w:t>Action</w:t>
            </w:r>
            <w:r w:rsidR="006442B6">
              <w:rPr>
                <w:rFonts w:ascii="Arial" w:hAnsi="Arial" w:cs="Arial"/>
                <w:sz w:val="28"/>
                <w:szCs w:val="28"/>
              </w:rPr>
              <w:t>s</w:t>
            </w:r>
            <w:r w:rsidRPr="006442B6">
              <w:rPr>
                <w:rFonts w:ascii="Arial" w:hAnsi="Arial" w:cs="Arial"/>
                <w:sz w:val="28"/>
                <w:szCs w:val="28"/>
              </w:rPr>
              <w:t xml:space="preserve"> en faveur de la protection de l’environnement</w:t>
            </w:r>
            <w:r w:rsidR="006442B6">
              <w:rPr>
                <w:rFonts w:ascii="Arial" w:hAnsi="Arial" w:cs="Arial"/>
                <w:sz w:val="28"/>
                <w:szCs w:val="28"/>
              </w:rPr>
              <w:t xml:space="preserve"> et des ressources</w:t>
            </w:r>
          </w:p>
        </w:tc>
        <w:tc>
          <w:tcPr>
            <w:tcW w:w="7364" w:type="dxa"/>
          </w:tcPr>
          <w:p w14:paraId="23E2035C" w14:textId="77777777" w:rsidR="0022676E" w:rsidRDefault="0022676E" w:rsidP="006442B6">
            <w:pPr>
              <w:spacing w:before="900" w:after="900"/>
            </w:pPr>
          </w:p>
        </w:tc>
      </w:tr>
      <w:tr w:rsidR="0022676E" w14:paraId="3056023F" w14:textId="77777777" w:rsidTr="006442B6">
        <w:tc>
          <w:tcPr>
            <w:tcW w:w="2694" w:type="dxa"/>
          </w:tcPr>
          <w:p w14:paraId="2D5F50FD" w14:textId="77777777" w:rsidR="0022676E" w:rsidRPr="006442B6" w:rsidRDefault="0022676E" w:rsidP="006442B6">
            <w:pPr>
              <w:spacing w:before="900" w:after="900"/>
              <w:jc w:val="both"/>
              <w:rPr>
                <w:rFonts w:ascii="Arial" w:hAnsi="Arial" w:cs="Arial"/>
              </w:rPr>
            </w:pPr>
            <w:r w:rsidRPr="006442B6">
              <w:rPr>
                <w:rFonts w:ascii="Arial" w:hAnsi="Arial" w:cs="Arial"/>
                <w:sz w:val="28"/>
                <w:szCs w:val="28"/>
              </w:rPr>
              <w:lastRenderedPageBreak/>
              <w:t>Actions en faveur des salariés du groupe</w:t>
            </w:r>
          </w:p>
        </w:tc>
        <w:tc>
          <w:tcPr>
            <w:tcW w:w="7364" w:type="dxa"/>
          </w:tcPr>
          <w:p w14:paraId="3CB2BEFF" w14:textId="77777777" w:rsidR="0022676E" w:rsidRDefault="0022676E" w:rsidP="006442B6">
            <w:pPr>
              <w:spacing w:before="900" w:after="900"/>
            </w:pPr>
          </w:p>
        </w:tc>
      </w:tr>
    </w:tbl>
    <w:p w14:paraId="6EA0FAE8" w14:textId="77777777" w:rsidR="0022676E" w:rsidRDefault="0022676E"/>
    <w:p w14:paraId="30C6962F" w14:textId="77777777" w:rsidR="0022676E" w:rsidRDefault="0022676E"/>
    <w:p w14:paraId="4D7C654F" w14:textId="77777777" w:rsidR="0022676E" w:rsidRDefault="0022676E"/>
    <w:p w14:paraId="3847788B" w14:textId="77777777" w:rsidR="0022676E" w:rsidRDefault="0022676E"/>
    <w:p w14:paraId="28E8351A" w14:textId="77777777" w:rsidR="0022676E" w:rsidRDefault="0022676E"/>
    <w:p w14:paraId="6F4A00A8" w14:textId="77777777" w:rsidR="0022676E" w:rsidRDefault="0022676E"/>
    <w:p w14:paraId="0508218C" w14:textId="77777777" w:rsidR="0022676E" w:rsidRDefault="0022676E"/>
    <w:sectPr w:rsidR="0022676E" w:rsidSect="006442B6">
      <w:footerReference w:type="default" r:id="rId2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0F7B" w14:textId="77777777" w:rsidR="00C1383F" w:rsidRDefault="00C1383F" w:rsidP="006442B6">
      <w:pPr>
        <w:spacing w:after="0" w:line="240" w:lineRule="auto"/>
      </w:pPr>
      <w:r>
        <w:separator/>
      </w:r>
    </w:p>
  </w:endnote>
  <w:endnote w:type="continuationSeparator" w:id="0">
    <w:p w14:paraId="577B7A23" w14:textId="77777777" w:rsidR="00C1383F" w:rsidRDefault="00C1383F" w:rsidP="0064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8E7" w14:textId="384A76F3" w:rsidR="006442B6" w:rsidRDefault="006442B6">
    <w:pPr>
      <w:pStyle w:val="Pieddepage"/>
      <w:jc w:val="right"/>
    </w:pPr>
    <w:r>
      <w:rPr>
        <w:color w:val="5B9BD5" w:themeColor="accent1"/>
        <w:sz w:val="20"/>
        <w:szCs w:val="20"/>
      </w:rPr>
      <w:t xml:space="preserve">PREMIERE PROFESSIONNELLE – DOSSIER 3 – LA RSE – DEVOIR SUPPLEMENTAIRE – J. SENABRE 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033359E5" w14:textId="77777777" w:rsidR="006442B6" w:rsidRDefault="00644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53AAD" w14:textId="77777777" w:rsidR="00C1383F" w:rsidRDefault="00C1383F" w:rsidP="006442B6">
      <w:pPr>
        <w:spacing w:after="0" w:line="240" w:lineRule="auto"/>
      </w:pPr>
      <w:r>
        <w:separator/>
      </w:r>
    </w:p>
  </w:footnote>
  <w:footnote w:type="continuationSeparator" w:id="0">
    <w:p w14:paraId="767CF310" w14:textId="77777777" w:rsidR="00C1383F" w:rsidRDefault="00C1383F" w:rsidP="0064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0062F"/>
    <w:multiLevelType w:val="hybridMultilevel"/>
    <w:tmpl w:val="5ABC6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E"/>
    <w:rsid w:val="0022676E"/>
    <w:rsid w:val="006442B6"/>
    <w:rsid w:val="00692D8C"/>
    <w:rsid w:val="00C1383F"/>
    <w:rsid w:val="00D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808"/>
  <w15:chartTrackingRefBased/>
  <w15:docId w15:val="{CB5C4234-8549-478A-AC83-1186984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676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2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Policepardfaut"/>
    <w:rsid w:val="0022676E"/>
  </w:style>
  <w:style w:type="character" w:styleId="lev">
    <w:name w:val="Strong"/>
    <w:basedOn w:val="Policepardfaut"/>
    <w:uiPriority w:val="22"/>
    <w:qFormat/>
    <w:rsid w:val="0022676E"/>
    <w:rPr>
      <w:b/>
      <w:bCs/>
    </w:rPr>
  </w:style>
  <w:style w:type="paragraph" w:styleId="Paragraphedeliste">
    <w:name w:val="List Paragraph"/>
    <w:basedOn w:val="Normal"/>
    <w:uiPriority w:val="34"/>
    <w:qFormat/>
    <w:rsid w:val="006442B6"/>
    <w:pPr>
      <w:ind w:left="720"/>
      <w:contextualSpacing/>
    </w:pPr>
    <w:rPr>
      <w:rFonts w:ascii="Arial" w:hAnsi="Arial"/>
      <w:kern w:val="2"/>
      <w14:ligatures w14:val="standardContextual"/>
    </w:rPr>
  </w:style>
  <w:style w:type="table" w:customStyle="1" w:styleId="Grilledutableau1">
    <w:name w:val="Grille du tableau1"/>
    <w:basedOn w:val="TableauNormal"/>
    <w:next w:val="Grilledutableau"/>
    <w:uiPriority w:val="59"/>
    <w:rsid w:val="006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6"/>
  </w:style>
  <w:style w:type="paragraph" w:styleId="Pieddepage">
    <w:name w:val="footer"/>
    <w:basedOn w:val="Normal"/>
    <w:link w:val="PieddepageCar"/>
    <w:uiPriority w:val="99"/>
    <w:unhideWhenUsed/>
    <w:rsid w:val="0064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ransport" TargetMode="External"/><Relationship Id="rId13" Type="http://schemas.openxmlformats.org/officeDocument/2006/relationships/hyperlink" Target="https://fr.wikipedia.org/wiki/Espagne" TargetMode="External"/><Relationship Id="rId18" Type="http://schemas.openxmlformats.org/officeDocument/2006/relationships/hyperlink" Target="https://fr.wikipedia.org/wiki/Suiss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fr.wikipedia.org/wiki/France" TargetMode="External"/><Relationship Id="rId12" Type="http://schemas.openxmlformats.org/officeDocument/2006/relationships/hyperlink" Target="https://fr.wikipedia.org/wiki/Italie" TargetMode="External"/><Relationship Id="rId17" Type="http://schemas.openxmlformats.org/officeDocument/2006/relationships/hyperlink" Target="https://fr.wikipedia.org/wiki/Royaume-U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Belgique" TargetMode="External"/><Relationship Id="rId20" Type="http://schemas.openxmlformats.org/officeDocument/2006/relationships/hyperlink" Target="https://www.stef.com/corporate/fr/nos-engagements-r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Fr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Pays-B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r.wikipedia.org/wiki/Surgel%C3%A9" TargetMode="External"/><Relationship Id="rId19" Type="http://schemas.openxmlformats.org/officeDocument/2006/relationships/hyperlink" Target="https://fr.wikipedia.org/wiki/Chiffre_d%E2%80%99affai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Logistique" TargetMode="External"/><Relationship Id="rId14" Type="http://schemas.openxmlformats.org/officeDocument/2006/relationships/hyperlink" Target="https://fr.wikipedia.org/wiki/Portug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</cp:lastModifiedBy>
  <cp:revision>2</cp:revision>
  <dcterms:created xsi:type="dcterms:W3CDTF">2024-11-17T15:53:00Z</dcterms:created>
  <dcterms:modified xsi:type="dcterms:W3CDTF">2024-11-17T15:53:00Z</dcterms:modified>
</cp:coreProperties>
</file>