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258B" w14:textId="77777777" w:rsidR="00C263A8" w:rsidRDefault="00C263A8">
      <w:pPr>
        <w:jc w:val="center"/>
        <w:rPr>
          <w:rFonts w:ascii="Arial" w:hAnsi="Arial" w:cs="Arial"/>
          <w:b/>
          <w:bCs/>
        </w:rPr>
      </w:pPr>
    </w:p>
    <w:p w14:paraId="5E9E19AD" w14:textId="6DD6D5BF" w:rsidR="00C263A8" w:rsidRPr="0021709A" w:rsidRDefault="00770842">
      <w:pPr>
        <w:jc w:val="center"/>
        <w:rPr>
          <w:rFonts w:ascii="Arial" w:hAnsi="Arial" w:cs="Arial"/>
          <w:b/>
          <w:bCs/>
          <w:sz w:val="24"/>
          <w:szCs w:val="24"/>
        </w:rPr>
      </w:pPr>
      <w:r w:rsidRPr="0021709A">
        <w:rPr>
          <w:rFonts w:ascii="Arial" w:hAnsi="Arial" w:cs="Arial"/>
          <w:b/>
          <w:bCs/>
          <w:sz w:val="24"/>
          <w:szCs w:val="24"/>
        </w:rPr>
        <w:t>Thème : l</w:t>
      </w:r>
      <w:r w:rsidR="00692D54" w:rsidRPr="0021709A">
        <w:rPr>
          <w:rFonts w:ascii="Arial" w:hAnsi="Arial" w:cs="Arial"/>
          <w:b/>
          <w:bCs/>
          <w:sz w:val="24"/>
          <w:szCs w:val="24"/>
        </w:rPr>
        <w:t xml:space="preserve">a formation professionnelle continue </w:t>
      </w:r>
    </w:p>
    <w:p w14:paraId="724BF1A3" w14:textId="77777777" w:rsidR="00C263A8" w:rsidRDefault="00692D54">
      <w:pPr>
        <w:jc w:val="both"/>
      </w:pPr>
      <w:r>
        <w:rPr>
          <w:rFonts w:ascii="Arial" w:hAnsi="Arial" w:cs="Arial"/>
          <w:b/>
          <w:bCs/>
        </w:rPr>
        <w:t>Orange</w:t>
      </w:r>
      <w:r>
        <w:rPr>
          <w:rFonts w:ascii="Arial" w:hAnsi="Arial" w:cs="Arial"/>
        </w:rPr>
        <w:t xml:space="preserve"> est l’un des principaux opérateurs de télécommunications et de services numériques dans le monde. Elle </w:t>
      </w:r>
      <w:r w:rsidR="00347415">
        <w:rPr>
          <w:rFonts w:ascii="Arial" w:hAnsi="Arial" w:cs="Arial"/>
        </w:rPr>
        <w:t>compte</w:t>
      </w:r>
      <w:r>
        <w:rPr>
          <w:rFonts w:ascii="Arial" w:hAnsi="Arial" w:cs="Arial"/>
        </w:rPr>
        <w:t xml:space="preserve"> 298 millions de clients, particuliers, professionnels et grandes entreprises au 31 décembre 2023. Elle est notamment l’un des leaders mondiaux des services de télécommunication</w:t>
      </w:r>
      <w:r w:rsidR="00347415">
        <w:rPr>
          <w:rFonts w:ascii="Arial" w:hAnsi="Arial" w:cs="Arial"/>
        </w:rPr>
        <w:t>s</w:t>
      </w:r>
      <w:r>
        <w:rPr>
          <w:rFonts w:ascii="Arial" w:hAnsi="Arial" w:cs="Arial"/>
        </w:rPr>
        <w:t xml:space="preserve"> pour les entreprises multinationales, sous la marque Orange Business.</w:t>
      </w:r>
    </w:p>
    <w:p w14:paraId="6681FAB7" w14:textId="77777777" w:rsidR="00C263A8" w:rsidRDefault="00692D54">
      <w:pPr>
        <w:jc w:val="both"/>
      </w:pPr>
      <w:r>
        <w:rPr>
          <w:rFonts w:ascii="Arial" w:hAnsi="Arial" w:cs="Arial"/>
          <w:noProof/>
          <w:lang w:eastAsia="fr-FR"/>
        </w:rPr>
        <mc:AlternateContent>
          <mc:Choice Requires="wps">
            <w:drawing>
              <wp:anchor distT="0" distB="0" distL="114300" distR="114300" simplePos="0" relativeHeight="251664384" behindDoc="0" locked="0" layoutInCell="1" allowOverlap="1" wp14:anchorId="672464E5" wp14:editId="1B67879B">
                <wp:simplePos x="0" y="0"/>
                <wp:positionH relativeFrom="margin">
                  <wp:align>right</wp:align>
                </wp:positionH>
                <wp:positionV relativeFrom="paragraph">
                  <wp:posOffset>3319</wp:posOffset>
                </wp:positionV>
                <wp:extent cx="2595880" cy="1666240"/>
                <wp:effectExtent l="0" t="0" r="13970" b="10160"/>
                <wp:wrapSquare wrapText="bothSides"/>
                <wp:docPr id="1" name="Zone de texte 2"/>
                <wp:cNvGraphicFramePr/>
                <a:graphic xmlns:a="http://schemas.openxmlformats.org/drawingml/2006/main">
                  <a:graphicData uri="http://schemas.microsoft.com/office/word/2010/wordprocessingShape">
                    <wps:wsp>
                      <wps:cNvSpPr txBox="1"/>
                      <wps:spPr>
                        <a:xfrm>
                          <a:off x="0" y="0"/>
                          <a:ext cx="2595880" cy="1666240"/>
                        </a:xfrm>
                        <a:prstGeom prst="rect">
                          <a:avLst/>
                        </a:prstGeom>
                        <a:solidFill>
                          <a:srgbClr val="FFFFFF"/>
                        </a:solidFill>
                        <a:ln w="6345">
                          <a:solidFill>
                            <a:srgbClr val="000000"/>
                          </a:solidFill>
                          <a:prstDash val="solid"/>
                        </a:ln>
                      </wps:spPr>
                      <wps:txbx>
                        <w:txbxContent>
                          <w:tbl>
                            <w:tblPr>
                              <w:tblW w:w="3823" w:type="dxa"/>
                              <w:tblInd w:w="-5" w:type="dxa"/>
                              <w:tblCellMar>
                                <w:left w:w="10" w:type="dxa"/>
                                <w:right w:w="10" w:type="dxa"/>
                              </w:tblCellMar>
                              <w:tblLook w:val="0000" w:firstRow="0" w:lastRow="0" w:firstColumn="0" w:lastColumn="0" w:noHBand="0" w:noVBand="0"/>
                            </w:tblPr>
                            <w:tblGrid>
                              <w:gridCol w:w="1683"/>
                              <w:gridCol w:w="2140"/>
                            </w:tblGrid>
                            <w:tr w:rsidR="00C263A8" w14:paraId="29CAB12F" w14:textId="77777777">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5B211" w14:textId="77777777" w:rsidR="00C263A8" w:rsidRDefault="00692D54">
                                  <w:pPr>
                                    <w:suppressAutoHyphens w:val="0"/>
                                    <w:spacing w:after="0" w:line="240" w:lineRule="auto"/>
                                    <w:textAlignment w:val="auto"/>
                                    <w:rPr>
                                      <w:rFonts w:ascii="Arial" w:hAnsi="Arial" w:cs="Arial"/>
                                      <w:b/>
                                      <w:bCs/>
                                    </w:rPr>
                                  </w:pPr>
                                  <w:r>
                                    <w:rPr>
                                      <w:rFonts w:ascii="Arial" w:hAnsi="Arial" w:cs="Arial"/>
                                      <w:b/>
                                      <w:bCs/>
                                    </w:rPr>
                                    <w:t>Dénomination sociale</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CF0B3" w14:textId="77777777" w:rsidR="00C263A8" w:rsidRDefault="00692D54">
                                  <w:pPr>
                                    <w:suppressAutoHyphens w:val="0"/>
                                    <w:spacing w:after="0" w:line="240" w:lineRule="auto"/>
                                    <w:textAlignment w:val="auto"/>
                                    <w:rPr>
                                      <w:rFonts w:ascii="Arial" w:hAnsi="Arial" w:cs="Arial"/>
                                      <w:b/>
                                      <w:bCs/>
                                    </w:rPr>
                                  </w:pPr>
                                  <w:r>
                                    <w:rPr>
                                      <w:rFonts w:ascii="Arial" w:hAnsi="Arial" w:cs="Arial"/>
                                      <w:b/>
                                      <w:bCs/>
                                    </w:rPr>
                                    <w:t>ORANGE</w:t>
                                  </w:r>
                                </w:p>
                              </w:tc>
                            </w:tr>
                            <w:tr w:rsidR="00C263A8" w14:paraId="13E055BA" w14:textId="77777777">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C2DB7" w14:textId="77777777" w:rsidR="00C263A8" w:rsidRDefault="00692D54">
                                  <w:pPr>
                                    <w:suppressAutoHyphens w:val="0"/>
                                    <w:spacing w:after="0" w:line="240" w:lineRule="auto"/>
                                    <w:textAlignment w:val="auto"/>
                                    <w:rPr>
                                      <w:rFonts w:ascii="Arial" w:hAnsi="Arial" w:cs="Arial"/>
                                      <w:b/>
                                      <w:bCs/>
                                    </w:rPr>
                                  </w:pPr>
                                  <w:r>
                                    <w:rPr>
                                      <w:rFonts w:ascii="Arial" w:hAnsi="Arial" w:cs="Arial"/>
                                      <w:b/>
                                      <w:bCs/>
                                    </w:rPr>
                                    <w:t>Adresse</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2B6EB" w14:textId="77777777" w:rsidR="00C263A8" w:rsidRPr="00770842" w:rsidRDefault="00692D54" w:rsidP="00770842">
                                  <w:pPr>
                                    <w:suppressAutoHyphens w:val="0"/>
                                    <w:spacing w:after="0" w:line="240" w:lineRule="auto"/>
                                    <w:jc w:val="both"/>
                                    <w:textAlignment w:val="auto"/>
                                    <w:rPr>
                                      <w:sz w:val="20"/>
                                      <w:szCs w:val="20"/>
                                    </w:rPr>
                                  </w:pPr>
                                  <w:r w:rsidRPr="00770842">
                                    <w:rPr>
                                      <w:rFonts w:ascii="Arial" w:hAnsi="Arial" w:cs="Arial"/>
                                      <w:sz w:val="20"/>
                                      <w:szCs w:val="20"/>
                                    </w:rPr>
                                    <w:t>11 Quai du Président Roosevelt 92130 ISSY-LES-MOULINEAUX</w:t>
                                  </w:r>
                                </w:p>
                              </w:tc>
                            </w:tr>
                            <w:tr w:rsidR="00C263A8" w14:paraId="6F2B5FE0" w14:textId="77777777">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579D1" w14:textId="77777777" w:rsidR="00C263A8" w:rsidRDefault="00692D54">
                                  <w:pPr>
                                    <w:suppressAutoHyphens w:val="0"/>
                                    <w:spacing w:after="0" w:line="240" w:lineRule="auto"/>
                                    <w:textAlignment w:val="auto"/>
                                    <w:rPr>
                                      <w:rFonts w:ascii="Arial" w:hAnsi="Arial" w:cs="Arial"/>
                                      <w:b/>
                                      <w:bCs/>
                                    </w:rPr>
                                  </w:pPr>
                                  <w:r>
                                    <w:rPr>
                                      <w:rFonts w:ascii="Arial" w:hAnsi="Arial" w:cs="Arial"/>
                                      <w:b/>
                                      <w:bCs/>
                                    </w:rPr>
                                    <w:t>Effectif</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F1813" w14:textId="526E3DE8" w:rsidR="00C263A8" w:rsidRPr="00770842" w:rsidRDefault="00692D54">
                                  <w:pPr>
                                    <w:suppressAutoHyphens w:val="0"/>
                                    <w:spacing w:after="0" w:line="240" w:lineRule="auto"/>
                                    <w:textAlignment w:val="auto"/>
                                    <w:rPr>
                                      <w:rFonts w:ascii="Arial" w:hAnsi="Arial" w:cs="Arial"/>
                                      <w:sz w:val="20"/>
                                      <w:szCs w:val="20"/>
                                    </w:rPr>
                                  </w:pPr>
                                  <w:r w:rsidRPr="00770842">
                                    <w:rPr>
                                      <w:rFonts w:ascii="Arial" w:hAnsi="Arial" w:cs="Arial"/>
                                      <w:sz w:val="20"/>
                                      <w:szCs w:val="20"/>
                                    </w:rPr>
                                    <w:t>137 000 dont 7</w:t>
                                  </w:r>
                                  <w:r w:rsidR="00EB1BC3">
                                    <w:rPr>
                                      <w:rFonts w:ascii="Arial" w:hAnsi="Arial" w:cs="Arial"/>
                                      <w:sz w:val="20"/>
                                      <w:szCs w:val="20"/>
                                    </w:rPr>
                                    <w:t>5</w:t>
                                  </w:r>
                                  <w:r w:rsidRPr="00770842">
                                    <w:rPr>
                                      <w:rFonts w:ascii="Arial" w:hAnsi="Arial" w:cs="Arial"/>
                                      <w:sz w:val="20"/>
                                      <w:szCs w:val="20"/>
                                    </w:rPr>
                                    <w:t> 000 en France</w:t>
                                  </w:r>
                                </w:p>
                              </w:tc>
                            </w:tr>
                            <w:tr w:rsidR="00C263A8" w14:paraId="71CE33DA" w14:textId="77777777">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9FF72" w14:textId="77777777" w:rsidR="00C263A8" w:rsidRDefault="00692D54">
                                  <w:pPr>
                                    <w:suppressAutoHyphens w:val="0"/>
                                    <w:spacing w:after="0" w:line="240" w:lineRule="auto"/>
                                    <w:textAlignment w:val="auto"/>
                                    <w:rPr>
                                      <w:rFonts w:ascii="Arial" w:hAnsi="Arial" w:cs="Arial"/>
                                      <w:b/>
                                      <w:bCs/>
                                    </w:rPr>
                                  </w:pPr>
                                  <w:r>
                                    <w:rPr>
                                      <w:rFonts w:ascii="Arial" w:hAnsi="Arial" w:cs="Arial"/>
                                      <w:b/>
                                      <w:bCs/>
                                    </w:rPr>
                                    <w:t>CA 2023</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9A7FC" w14:textId="77777777" w:rsidR="00C263A8" w:rsidRPr="00770842" w:rsidRDefault="00692D54">
                                  <w:pPr>
                                    <w:suppressAutoHyphens w:val="0"/>
                                    <w:spacing w:after="0" w:line="240" w:lineRule="auto"/>
                                    <w:textAlignment w:val="auto"/>
                                    <w:rPr>
                                      <w:rFonts w:ascii="Arial" w:hAnsi="Arial" w:cs="Arial"/>
                                      <w:sz w:val="20"/>
                                      <w:szCs w:val="20"/>
                                    </w:rPr>
                                  </w:pPr>
                                  <w:r w:rsidRPr="00770842">
                                    <w:rPr>
                                      <w:rFonts w:ascii="Arial" w:hAnsi="Arial" w:cs="Arial"/>
                                      <w:sz w:val="20"/>
                                      <w:szCs w:val="20"/>
                                    </w:rPr>
                                    <w:t xml:space="preserve">44.12 milliards d’euros </w:t>
                                  </w:r>
                                </w:p>
                              </w:tc>
                            </w:tr>
                          </w:tbl>
                          <w:p w14:paraId="0EA83313" w14:textId="77777777" w:rsidR="00C263A8" w:rsidRDefault="00C263A8"/>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672464E5" id="_x0000_t202" coordsize="21600,21600" o:spt="202" path="m,l,21600r21600,l21600,xe">
                <v:stroke joinstyle="miter"/>
                <v:path gradientshapeok="t" o:connecttype="rect"/>
              </v:shapetype>
              <v:shape id="Zone de texte 2" o:spid="_x0000_s1026" type="#_x0000_t202" style="position:absolute;left:0;text-align:left;margin-left:153.2pt;margin-top:.25pt;width:204.4pt;height:131.2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" strokeweight=".17625mm">
                <v:textbox>
                  <w:txbxContent>
                    <w:tbl>
                      <w:tblPr>
                        <w:tblW w:w="3823" w:type="dxa"/>
                        <w:tblInd w:w="-5" w:type="dxa"/>
                        <w:tblCellMar>
                          <w:left w:w="10" w:type="dxa"/>
                          <w:right w:w="10" w:type="dxa"/>
                        </w:tblCellMar>
                        <w:tblLook w:val="0000" w:firstRow="0" w:lastRow="0" w:firstColumn="0" w:lastColumn="0" w:noHBand="0" w:noVBand="0"/>
                      </w:tblPr>
                      <w:tblGrid>
                        <w:gridCol w:w="1683"/>
                        <w:gridCol w:w="2140"/>
                      </w:tblGrid>
                      <w:tr w:rsidR="00C263A8" w14:paraId="29CAB12F" w14:textId="77777777">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5B211" w14:textId="77777777" w:rsidR="00C263A8" w:rsidRDefault="00692D54">
                            <w:pPr>
                              <w:suppressAutoHyphens w:val="0"/>
                              <w:spacing w:after="0" w:line="240" w:lineRule="auto"/>
                              <w:textAlignment w:val="auto"/>
                              <w:rPr>
                                <w:rFonts w:ascii="Arial" w:hAnsi="Arial" w:cs="Arial"/>
                                <w:b/>
                                <w:bCs/>
                              </w:rPr>
                            </w:pPr>
                            <w:r>
                              <w:rPr>
                                <w:rFonts w:ascii="Arial" w:hAnsi="Arial" w:cs="Arial"/>
                                <w:b/>
                                <w:bCs/>
                              </w:rPr>
                              <w:t>Dénomination sociale</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CF0B3" w14:textId="77777777" w:rsidR="00C263A8" w:rsidRDefault="00692D54">
                            <w:pPr>
                              <w:suppressAutoHyphens w:val="0"/>
                              <w:spacing w:after="0" w:line="240" w:lineRule="auto"/>
                              <w:textAlignment w:val="auto"/>
                              <w:rPr>
                                <w:rFonts w:ascii="Arial" w:hAnsi="Arial" w:cs="Arial"/>
                                <w:b/>
                                <w:bCs/>
                              </w:rPr>
                            </w:pPr>
                            <w:r>
                              <w:rPr>
                                <w:rFonts w:ascii="Arial" w:hAnsi="Arial" w:cs="Arial"/>
                                <w:b/>
                                <w:bCs/>
                              </w:rPr>
                              <w:t>ORANGE</w:t>
                            </w:r>
                          </w:p>
                        </w:tc>
                      </w:tr>
                      <w:tr w:rsidR="00C263A8" w14:paraId="13E055BA" w14:textId="77777777">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C2DB7" w14:textId="77777777" w:rsidR="00C263A8" w:rsidRDefault="00692D54">
                            <w:pPr>
                              <w:suppressAutoHyphens w:val="0"/>
                              <w:spacing w:after="0" w:line="240" w:lineRule="auto"/>
                              <w:textAlignment w:val="auto"/>
                              <w:rPr>
                                <w:rFonts w:ascii="Arial" w:hAnsi="Arial" w:cs="Arial"/>
                                <w:b/>
                                <w:bCs/>
                              </w:rPr>
                            </w:pPr>
                            <w:r>
                              <w:rPr>
                                <w:rFonts w:ascii="Arial" w:hAnsi="Arial" w:cs="Arial"/>
                                <w:b/>
                                <w:bCs/>
                              </w:rPr>
                              <w:t>Adresse</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72B6EB" w14:textId="77777777" w:rsidR="00C263A8" w:rsidRPr="00770842" w:rsidRDefault="00692D54" w:rsidP="00770842">
                            <w:pPr>
                              <w:suppressAutoHyphens w:val="0"/>
                              <w:spacing w:after="0" w:line="240" w:lineRule="auto"/>
                              <w:jc w:val="both"/>
                              <w:textAlignment w:val="auto"/>
                              <w:rPr>
                                <w:sz w:val="20"/>
                                <w:szCs w:val="20"/>
                              </w:rPr>
                            </w:pPr>
                            <w:r w:rsidRPr="00770842">
                              <w:rPr>
                                <w:rFonts w:ascii="Arial" w:hAnsi="Arial" w:cs="Arial"/>
                                <w:sz w:val="20"/>
                                <w:szCs w:val="20"/>
                              </w:rPr>
                              <w:t>11 Quai du Président Roosevelt 92130 ISSY-LES-MOULINEAUX</w:t>
                            </w:r>
                          </w:p>
                        </w:tc>
                      </w:tr>
                      <w:tr w:rsidR="00C263A8" w14:paraId="6F2B5FE0" w14:textId="77777777">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579D1" w14:textId="77777777" w:rsidR="00C263A8" w:rsidRDefault="00692D54">
                            <w:pPr>
                              <w:suppressAutoHyphens w:val="0"/>
                              <w:spacing w:after="0" w:line="240" w:lineRule="auto"/>
                              <w:textAlignment w:val="auto"/>
                              <w:rPr>
                                <w:rFonts w:ascii="Arial" w:hAnsi="Arial" w:cs="Arial"/>
                                <w:b/>
                                <w:bCs/>
                              </w:rPr>
                            </w:pPr>
                            <w:r>
                              <w:rPr>
                                <w:rFonts w:ascii="Arial" w:hAnsi="Arial" w:cs="Arial"/>
                                <w:b/>
                                <w:bCs/>
                              </w:rPr>
                              <w:t>Effectif</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F1813" w14:textId="526E3DE8" w:rsidR="00C263A8" w:rsidRPr="00770842" w:rsidRDefault="00692D54">
                            <w:pPr>
                              <w:suppressAutoHyphens w:val="0"/>
                              <w:spacing w:after="0" w:line="240" w:lineRule="auto"/>
                              <w:textAlignment w:val="auto"/>
                              <w:rPr>
                                <w:rFonts w:ascii="Arial" w:hAnsi="Arial" w:cs="Arial"/>
                                <w:sz w:val="20"/>
                                <w:szCs w:val="20"/>
                              </w:rPr>
                            </w:pPr>
                            <w:r w:rsidRPr="00770842">
                              <w:rPr>
                                <w:rFonts w:ascii="Arial" w:hAnsi="Arial" w:cs="Arial"/>
                                <w:sz w:val="20"/>
                                <w:szCs w:val="20"/>
                              </w:rPr>
                              <w:t>137 000 dont 7</w:t>
                            </w:r>
                            <w:r w:rsidR="00EB1BC3">
                              <w:rPr>
                                <w:rFonts w:ascii="Arial" w:hAnsi="Arial" w:cs="Arial"/>
                                <w:sz w:val="20"/>
                                <w:szCs w:val="20"/>
                              </w:rPr>
                              <w:t>5</w:t>
                            </w:r>
                            <w:r w:rsidRPr="00770842">
                              <w:rPr>
                                <w:rFonts w:ascii="Arial" w:hAnsi="Arial" w:cs="Arial"/>
                                <w:sz w:val="20"/>
                                <w:szCs w:val="20"/>
                              </w:rPr>
                              <w:t> 000 en France</w:t>
                            </w:r>
                          </w:p>
                        </w:tc>
                      </w:tr>
                      <w:tr w:rsidR="00C263A8" w14:paraId="71CE33DA" w14:textId="77777777">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9FF72" w14:textId="77777777" w:rsidR="00C263A8" w:rsidRDefault="00692D54">
                            <w:pPr>
                              <w:suppressAutoHyphens w:val="0"/>
                              <w:spacing w:after="0" w:line="240" w:lineRule="auto"/>
                              <w:textAlignment w:val="auto"/>
                              <w:rPr>
                                <w:rFonts w:ascii="Arial" w:hAnsi="Arial" w:cs="Arial"/>
                                <w:b/>
                                <w:bCs/>
                              </w:rPr>
                            </w:pPr>
                            <w:r>
                              <w:rPr>
                                <w:rFonts w:ascii="Arial" w:hAnsi="Arial" w:cs="Arial"/>
                                <w:b/>
                                <w:bCs/>
                              </w:rPr>
                              <w:t>CA 2023</w:t>
                            </w:r>
                          </w:p>
                        </w:tc>
                        <w:tc>
                          <w:tcPr>
                            <w:tcW w:w="2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9A7FC" w14:textId="77777777" w:rsidR="00C263A8" w:rsidRPr="00770842" w:rsidRDefault="00692D54">
                            <w:pPr>
                              <w:suppressAutoHyphens w:val="0"/>
                              <w:spacing w:after="0" w:line="240" w:lineRule="auto"/>
                              <w:textAlignment w:val="auto"/>
                              <w:rPr>
                                <w:rFonts w:ascii="Arial" w:hAnsi="Arial" w:cs="Arial"/>
                                <w:sz w:val="20"/>
                                <w:szCs w:val="20"/>
                              </w:rPr>
                            </w:pPr>
                            <w:r w:rsidRPr="00770842">
                              <w:rPr>
                                <w:rFonts w:ascii="Arial" w:hAnsi="Arial" w:cs="Arial"/>
                                <w:sz w:val="20"/>
                                <w:szCs w:val="20"/>
                              </w:rPr>
                              <w:t xml:space="preserve">44.12 milliards d’euros </w:t>
                            </w:r>
                          </w:p>
                        </w:tc>
                      </w:tr>
                    </w:tbl>
                    <w:p w14:paraId="0EA83313" w14:textId="77777777" w:rsidR="00C263A8" w:rsidRDefault="00C263A8"/>
                  </w:txbxContent>
                </v:textbox>
                <w10:wrap type="square" anchorx="margin"/>
              </v:shape>
            </w:pict>
          </mc:Fallback>
        </mc:AlternateContent>
      </w:r>
      <w:r>
        <w:rPr>
          <w:rFonts w:ascii="Arial" w:hAnsi="Arial" w:cs="Arial"/>
        </w:rPr>
        <w:t xml:space="preserve">Acteur majeur du numérique en Europe, en Afrique et au Moyen-Orient, le groupe s’appuie sur la mise en œuvre d’un nouveau modèle d’entreprise reposant sur trois maîtres-mots : performance, excellence et confiance, avec au cœur les enjeux environnementaux, sociétaux et humains </w:t>
      </w:r>
      <w:bookmarkStart w:id="0" w:name="_Hlk193170755"/>
      <w:r>
        <w:rPr>
          <w:rFonts w:ascii="Arial" w:hAnsi="Arial" w:cs="Arial"/>
          <w:b/>
          <w:bCs/>
          <w:u w:val="single"/>
        </w:rPr>
        <w:t>engageant le groupe dans une démarche responsable</w:t>
      </w:r>
      <w:r>
        <w:rPr>
          <w:rFonts w:ascii="Arial" w:hAnsi="Arial" w:cs="Arial"/>
        </w:rPr>
        <w:t>.</w:t>
      </w:r>
      <w:bookmarkEnd w:id="0"/>
    </w:p>
    <w:p w14:paraId="237C2C1A" w14:textId="77777777" w:rsidR="00C263A8" w:rsidRDefault="00692D54">
      <w:pPr>
        <w:jc w:val="both"/>
        <w:rPr>
          <w:rFonts w:ascii="Arial" w:hAnsi="Arial" w:cs="Arial"/>
        </w:rPr>
      </w:pPr>
      <w:r>
        <w:rPr>
          <w:rFonts w:ascii="Arial" w:hAnsi="Arial" w:cs="Arial"/>
        </w:rPr>
        <w:t>Depuis 2023, Orange a lancé le plan stratégique « Lead the Future ». Ce plan s’appuie sur quatre grands axes :</w:t>
      </w:r>
    </w:p>
    <w:p w14:paraId="6DB4B151" w14:textId="77777777" w:rsidR="00C263A8" w:rsidRDefault="00692D54">
      <w:pPr>
        <w:pStyle w:val="Paragraphedeliste"/>
        <w:numPr>
          <w:ilvl w:val="0"/>
          <w:numId w:val="1"/>
        </w:numPr>
        <w:spacing w:after="0"/>
        <w:jc w:val="both"/>
        <w:rPr>
          <w:rFonts w:ascii="Arial" w:hAnsi="Arial" w:cs="Arial"/>
        </w:rPr>
      </w:pPr>
      <w:r>
        <w:rPr>
          <w:rFonts w:ascii="Arial" w:hAnsi="Arial" w:cs="Arial"/>
        </w:rPr>
        <w:t>La valorisation de son cœur de métier (fibre, réseau 5G) pour renforcer la qualité de service</w:t>
      </w:r>
    </w:p>
    <w:p w14:paraId="48036264" w14:textId="77777777" w:rsidR="00C263A8" w:rsidRDefault="00692D54">
      <w:pPr>
        <w:pStyle w:val="Paragraphedeliste"/>
        <w:numPr>
          <w:ilvl w:val="0"/>
          <w:numId w:val="1"/>
        </w:numPr>
        <w:spacing w:after="0"/>
        <w:jc w:val="both"/>
        <w:rPr>
          <w:rFonts w:ascii="Arial" w:hAnsi="Arial" w:cs="Arial"/>
        </w:rPr>
      </w:pPr>
      <w:r>
        <w:rPr>
          <w:rFonts w:ascii="Arial" w:hAnsi="Arial" w:cs="Arial"/>
        </w:rPr>
        <w:t>L’investissement dans les infrastructures</w:t>
      </w:r>
    </w:p>
    <w:p w14:paraId="44E27ACF" w14:textId="77777777" w:rsidR="00C263A8" w:rsidRDefault="00347415">
      <w:pPr>
        <w:pStyle w:val="Paragraphedeliste"/>
        <w:numPr>
          <w:ilvl w:val="0"/>
          <w:numId w:val="1"/>
        </w:numPr>
        <w:spacing w:after="0"/>
        <w:jc w:val="both"/>
        <w:rPr>
          <w:rFonts w:ascii="Arial" w:hAnsi="Arial" w:cs="Arial"/>
        </w:rPr>
      </w:pPr>
      <w:r>
        <w:rPr>
          <w:rFonts w:ascii="Arial" w:hAnsi="Arial" w:cs="Arial"/>
        </w:rPr>
        <w:t>La t</w:t>
      </w:r>
      <w:r w:rsidR="00692D54">
        <w:rPr>
          <w:rFonts w:ascii="Arial" w:hAnsi="Arial" w:cs="Arial"/>
        </w:rPr>
        <w:t xml:space="preserve">ransformation de sa filiale Orange Business dédiée aux entreprises notamment vers les solutions de </w:t>
      </w:r>
      <w:r>
        <w:rPr>
          <w:rFonts w:ascii="Arial" w:hAnsi="Arial" w:cs="Arial"/>
        </w:rPr>
        <w:t>cyber sécurité</w:t>
      </w:r>
    </w:p>
    <w:p w14:paraId="3F8E20EE" w14:textId="77777777" w:rsidR="00C263A8" w:rsidRDefault="00347415">
      <w:pPr>
        <w:pStyle w:val="Paragraphedeliste"/>
        <w:numPr>
          <w:ilvl w:val="0"/>
          <w:numId w:val="1"/>
        </w:numPr>
        <w:spacing w:after="0"/>
        <w:jc w:val="both"/>
        <w:rPr>
          <w:rFonts w:ascii="Arial" w:hAnsi="Arial" w:cs="Arial"/>
        </w:rPr>
      </w:pPr>
      <w:r>
        <w:rPr>
          <w:rFonts w:ascii="Arial" w:hAnsi="Arial" w:cs="Arial"/>
        </w:rPr>
        <w:t>La p</w:t>
      </w:r>
      <w:r w:rsidR="00692D54">
        <w:rPr>
          <w:rFonts w:ascii="Arial" w:hAnsi="Arial" w:cs="Arial"/>
        </w:rPr>
        <w:t>oursuivre la croissance vers l’Afrique et le Moyen-Orient</w:t>
      </w:r>
    </w:p>
    <w:p w14:paraId="4A921A1C" w14:textId="77777777" w:rsidR="00C263A8" w:rsidRDefault="00C263A8">
      <w:pPr>
        <w:spacing w:after="0"/>
        <w:jc w:val="both"/>
        <w:rPr>
          <w:rFonts w:ascii="Arial" w:hAnsi="Arial" w:cs="Arial"/>
        </w:rPr>
      </w:pPr>
    </w:p>
    <w:p w14:paraId="6200813B" w14:textId="77777777" w:rsidR="00C263A8" w:rsidRDefault="00692D54">
      <w:pPr>
        <w:jc w:val="both"/>
      </w:pPr>
      <w:r>
        <w:rPr>
          <w:noProof/>
          <w:lang w:eastAsia="fr-FR"/>
        </w:rPr>
        <mc:AlternateContent>
          <mc:Choice Requires="wps">
            <w:drawing>
              <wp:anchor distT="0" distB="0" distL="114300" distR="114300" simplePos="0" relativeHeight="251667456" behindDoc="0" locked="0" layoutInCell="1" allowOverlap="1" wp14:anchorId="71BC9EC8" wp14:editId="6C2452DE">
                <wp:simplePos x="0" y="0"/>
                <wp:positionH relativeFrom="column">
                  <wp:posOffset>-39374</wp:posOffset>
                </wp:positionH>
                <wp:positionV relativeFrom="paragraph">
                  <wp:posOffset>2066287</wp:posOffset>
                </wp:positionV>
                <wp:extent cx="3335017" cy="630"/>
                <wp:effectExtent l="0" t="0" r="0" b="0"/>
                <wp:wrapSquare wrapText="bothSides"/>
                <wp:docPr id="2" name="Zone de texte 1"/>
                <wp:cNvGraphicFramePr/>
                <a:graphic xmlns:a="http://schemas.openxmlformats.org/drawingml/2006/main">
                  <a:graphicData uri="http://schemas.microsoft.com/office/word/2010/wordprocessingShape">
                    <wps:wsp>
                      <wps:cNvSpPr txBox="1"/>
                      <wps:spPr>
                        <a:xfrm>
                          <a:off x="0" y="0"/>
                          <a:ext cx="3335017" cy="630"/>
                        </a:xfrm>
                        <a:prstGeom prst="rect">
                          <a:avLst/>
                        </a:prstGeom>
                        <a:solidFill>
                          <a:srgbClr val="FFFFFF"/>
                        </a:solidFill>
                        <a:ln>
                          <a:noFill/>
                          <a:prstDash/>
                        </a:ln>
                      </wps:spPr>
                      <wps:txbx>
                        <w:txbxContent>
                          <w:p w14:paraId="7DAD25F9" w14:textId="77777777" w:rsidR="00C263A8" w:rsidRDefault="00692D54">
                            <w:pPr>
                              <w:pStyle w:val="Lgende"/>
                            </w:pPr>
                            <w:r>
                              <w:t>Figure 1- Composantes de la formation professionnelle en France</w:t>
                            </w:r>
                          </w:p>
                        </w:txbxContent>
                      </wps:txbx>
                      <wps:bodyPr vert="horz" wrap="square" lIns="0" tIns="0" rIns="0" bIns="0" anchor="t" anchorCtr="0" compatLnSpc="1">
                        <a:spAutoFit/>
                      </wps:bodyPr>
                    </wps:wsp>
                  </a:graphicData>
                </a:graphic>
              </wp:anchor>
            </w:drawing>
          </mc:Choice>
          <mc:Fallback>
            <w:pict>
              <v:shape w14:anchorId="71BC9EC8" id="Zone de texte 1" o:spid="_x0000_s1027" type="#_x0000_t202" style="position:absolute;left:0;text-align:left;margin-left:-3.1pt;margin-top:162.7pt;width:262.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" stroked="f">
                <v:textbox style="mso-fit-shape-to-text:t" inset="0,0,0,0">
                  <w:txbxContent>
                    <w:p w14:paraId="7DAD25F9" w14:textId="77777777" w:rsidR="00C263A8" w:rsidRDefault="00692D54">
                      <w:pPr>
                        <w:pStyle w:val="Lgende"/>
                      </w:pPr>
                      <w:r>
                        <w:t>Figure 1- Composantes de la formation professionnelle en France</w:t>
                      </w:r>
                    </w:p>
                  </w:txbxContent>
                </v:textbox>
                <w10:wrap type="square"/>
              </v:shape>
            </w:pict>
          </mc:Fallback>
        </mc:AlternateContent>
      </w:r>
      <w:r>
        <w:rPr>
          <w:noProof/>
          <w:lang w:eastAsia="fr-FR"/>
        </w:rPr>
        <w:drawing>
          <wp:anchor distT="0" distB="0" distL="114300" distR="114300" simplePos="0" relativeHeight="251665408" behindDoc="0" locked="0" layoutInCell="1" allowOverlap="1" wp14:anchorId="488C045C" wp14:editId="3E90250C">
            <wp:simplePos x="0" y="0"/>
            <wp:positionH relativeFrom="margin">
              <wp:posOffset>-39374</wp:posOffset>
            </wp:positionH>
            <wp:positionV relativeFrom="paragraph">
              <wp:posOffset>9820</wp:posOffset>
            </wp:positionV>
            <wp:extent cx="3335347" cy="2000103"/>
            <wp:effectExtent l="0" t="0" r="0" b="147"/>
            <wp:wrapSquare wrapText="bothSides"/>
            <wp:docPr id="3" name="Image 3" descr="schéma de la formation professionnell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335347" cy="2000103"/>
                    </a:xfrm>
                    <a:prstGeom prst="rect">
                      <a:avLst/>
                    </a:prstGeom>
                    <a:noFill/>
                    <a:ln>
                      <a:noFill/>
                      <a:prstDash/>
                    </a:ln>
                  </pic:spPr>
                </pic:pic>
              </a:graphicData>
            </a:graphic>
          </wp:anchor>
        </w:drawing>
      </w:r>
      <w:r>
        <w:rPr>
          <w:rFonts w:ascii="Arial" w:hAnsi="Arial" w:cs="Arial"/>
        </w:rPr>
        <w:t xml:space="preserve">Afin de parvenir à ses nouveaux objectifs et faire face aux évolutions technologiques du secteur de l’internet et des télécommunications (Intelligence Artificielle, data, </w:t>
      </w:r>
      <w:r w:rsidR="00347415">
        <w:rPr>
          <w:rFonts w:ascii="Arial" w:hAnsi="Arial" w:cs="Arial"/>
        </w:rPr>
        <w:t>cyber sécurité</w:t>
      </w:r>
      <w:r>
        <w:rPr>
          <w:rFonts w:ascii="Arial" w:hAnsi="Arial" w:cs="Arial"/>
        </w:rPr>
        <w:t>, expérience client), le groupe dével</w:t>
      </w:r>
      <w:r w:rsidR="00347415">
        <w:rPr>
          <w:rFonts w:ascii="Arial" w:hAnsi="Arial" w:cs="Arial"/>
        </w:rPr>
        <w:t>oppe des solutions de formations</w:t>
      </w:r>
      <w:r>
        <w:rPr>
          <w:rFonts w:ascii="Arial" w:hAnsi="Arial" w:cs="Arial"/>
        </w:rPr>
        <w:t xml:space="preserve"> permettant aux collaborateurs du groupe d’acquérir de nouvelles compétences dans le cadre d’un changement de métier (reskilling) ou de développer des compétences dans le cadre d’une mutation du métier (upskilling). </w:t>
      </w:r>
    </w:p>
    <w:p w14:paraId="486AA533" w14:textId="77777777" w:rsidR="00C263A8" w:rsidRDefault="00692D54">
      <w:pPr>
        <w:jc w:val="both"/>
        <w:rPr>
          <w:rFonts w:ascii="Arial" w:hAnsi="Arial" w:cs="Arial"/>
        </w:rPr>
      </w:pPr>
      <w:r>
        <w:rPr>
          <w:rFonts w:ascii="Arial" w:hAnsi="Arial" w:cs="Arial"/>
        </w:rPr>
        <w:t>Les multiples entités que forme Orange, la grande variété de métiers et l’importance accordée à la formation continue et à la mobilité interne permettent aux salariés d’envisager de nombreuses carrières au sein du Groupe en France et à l’étranger.</w:t>
      </w:r>
    </w:p>
    <w:p w14:paraId="3E507D87" w14:textId="77777777" w:rsidR="00C263A8" w:rsidRDefault="00692D54">
      <w:pPr>
        <w:jc w:val="both"/>
        <w:rPr>
          <w:rFonts w:ascii="Arial" w:hAnsi="Arial" w:cs="Arial"/>
        </w:rPr>
      </w:pPr>
      <w:r>
        <w:rPr>
          <w:rFonts w:ascii="Arial" w:hAnsi="Arial" w:cs="Arial"/>
        </w:rPr>
        <w:t>En outre, Orange a développé depuis 2020 un Centre de Formations d’</w:t>
      </w:r>
      <w:r w:rsidR="00347415">
        <w:rPr>
          <w:rFonts w:ascii="Arial" w:hAnsi="Arial" w:cs="Arial"/>
        </w:rPr>
        <w:t>A</w:t>
      </w:r>
      <w:r>
        <w:rPr>
          <w:rFonts w:ascii="Arial" w:hAnsi="Arial" w:cs="Arial"/>
        </w:rPr>
        <w:t>pprentis</w:t>
      </w:r>
      <w:r w:rsidR="00347415">
        <w:rPr>
          <w:rFonts w:ascii="Arial" w:hAnsi="Arial" w:cs="Arial"/>
        </w:rPr>
        <w:t xml:space="preserve"> (CFA)</w:t>
      </w:r>
      <w:r>
        <w:rPr>
          <w:rFonts w:ascii="Arial" w:hAnsi="Arial" w:cs="Arial"/>
        </w:rPr>
        <w:t xml:space="preserve"> permettant notamment aux étudiants de se former vers les métiers du numérique et de la relation client.</w:t>
      </w:r>
    </w:p>
    <w:p w14:paraId="30EC8261" w14:textId="78E48BDC" w:rsidR="00C263A8" w:rsidRDefault="00692D54">
      <w:pPr>
        <w:jc w:val="both"/>
      </w:pPr>
      <w:r>
        <w:rPr>
          <w:rFonts w:ascii="Arial" w:hAnsi="Arial" w:cs="Arial"/>
        </w:rPr>
        <w:t>Vous effectuez votre période de formation en milieu professionnel (PFMP) au sein de d’une des agences du groupe Orange. Madame LEROY, Responsable d</w:t>
      </w:r>
      <w:r w:rsidR="00770842">
        <w:rPr>
          <w:rFonts w:ascii="Arial" w:hAnsi="Arial" w:cs="Arial"/>
        </w:rPr>
        <w:t>’</w:t>
      </w:r>
      <w:r>
        <w:rPr>
          <w:rFonts w:ascii="Arial" w:hAnsi="Arial" w:cs="Arial"/>
        </w:rPr>
        <w:t xml:space="preserve">agence, vous informe que l’agence va bientôt accueillir un groupe d’étudiants. </w:t>
      </w:r>
      <w:r w:rsidR="00347415">
        <w:rPr>
          <w:rFonts w:ascii="Arial" w:hAnsi="Arial" w:cs="Arial"/>
        </w:rPr>
        <w:t>À</w:t>
      </w:r>
      <w:r>
        <w:rPr>
          <w:rFonts w:ascii="Arial" w:hAnsi="Arial" w:cs="Arial"/>
        </w:rPr>
        <w:t xml:space="preserve"> cette occasion, elle souhaite évoquer l’importance de la formation professionnelle continue pour </w:t>
      </w:r>
      <w:r w:rsidR="00347415">
        <w:rPr>
          <w:rFonts w:ascii="Arial" w:hAnsi="Arial" w:cs="Arial"/>
        </w:rPr>
        <w:t>l’entreprise</w:t>
      </w:r>
      <w:r>
        <w:rPr>
          <w:rFonts w:ascii="Arial" w:hAnsi="Arial" w:cs="Arial"/>
        </w:rPr>
        <w:t xml:space="preserve">. Afin de préparer cette rencontre, elle vous charge de mener une étude permettant de répondre à la problématique suivante : </w:t>
      </w:r>
    </w:p>
    <w:p w14:paraId="7C529103" w14:textId="77777777" w:rsidR="00C263A8" w:rsidRDefault="00692D54">
      <w:pPr>
        <w:jc w:val="center"/>
        <w:rPr>
          <w:rFonts w:ascii="Arial" w:hAnsi="Arial" w:cs="Arial"/>
          <w:b/>
          <w:bCs/>
          <w:sz w:val="24"/>
          <w:szCs w:val="24"/>
        </w:rPr>
      </w:pPr>
      <w:r>
        <w:rPr>
          <w:rFonts w:ascii="Arial" w:hAnsi="Arial" w:cs="Arial"/>
          <w:b/>
          <w:bCs/>
          <w:sz w:val="24"/>
          <w:szCs w:val="24"/>
        </w:rPr>
        <w:t>La formation professionnelle continue permet-elle aux entreprises de s’adapter aux mutations de leur secteur d’activité ?</w:t>
      </w:r>
    </w:p>
    <w:p w14:paraId="06920EC3" w14:textId="77777777" w:rsidR="00C263A8" w:rsidRPr="008413C5" w:rsidRDefault="00692D54" w:rsidP="00CC0C5F">
      <w:pPr>
        <w:jc w:val="both"/>
        <w:rPr>
          <w:rFonts w:ascii="Arial" w:hAnsi="Arial" w:cs="Arial"/>
          <w:b/>
          <w:bCs/>
          <w:sz w:val="24"/>
          <w:szCs w:val="24"/>
        </w:rPr>
      </w:pPr>
      <w:r w:rsidRPr="008413C5">
        <w:rPr>
          <w:rFonts w:ascii="Arial" w:hAnsi="Arial" w:cs="Arial"/>
          <w:b/>
          <w:bCs/>
          <w:sz w:val="24"/>
          <w:szCs w:val="24"/>
        </w:rPr>
        <w:lastRenderedPageBreak/>
        <w:t>PREMIÈRE PARTIE – EXPLOITATION DES DOCUMENTS</w:t>
      </w:r>
    </w:p>
    <w:p w14:paraId="2C4D0D42" w14:textId="77777777" w:rsidR="00C263A8" w:rsidRPr="008413C5" w:rsidRDefault="00692D54" w:rsidP="00CC0C5F">
      <w:pPr>
        <w:jc w:val="both"/>
        <w:rPr>
          <w:rFonts w:ascii="Arial" w:hAnsi="Arial" w:cs="Arial"/>
          <w:sz w:val="24"/>
          <w:szCs w:val="24"/>
        </w:rPr>
      </w:pPr>
      <w:r w:rsidRPr="008413C5">
        <w:rPr>
          <w:rFonts w:ascii="Arial" w:hAnsi="Arial" w:cs="Arial"/>
          <w:b/>
          <w:bCs/>
          <w:sz w:val="24"/>
          <w:szCs w:val="24"/>
        </w:rPr>
        <w:t>Afin de préparer au mieux l’étude qui vous a été confiée par Madame LEROY, étudier les DOCUMENTS 1 à 3</w:t>
      </w:r>
      <w:r w:rsidRPr="008413C5">
        <w:rPr>
          <w:rFonts w:ascii="Arial" w:hAnsi="Arial" w:cs="Arial"/>
          <w:b/>
          <w:bCs/>
          <w:sz w:val="24"/>
          <w:szCs w:val="24"/>
          <w:vertAlign w:val="superscript"/>
        </w:rPr>
        <w:t xml:space="preserve"> </w:t>
      </w:r>
      <w:r w:rsidRPr="008413C5">
        <w:rPr>
          <w:rFonts w:ascii="Arial" w:hAnsi="Arial" w:cs="Arial"/>
          <w:b/>
          <w:bCs/>
          <w:sz w:val="24"/>
          <w:szCs w:val="24"/>
        </w:rPr>
        <w:t>et répondre sur votre copie aux questions suivantes.</w:t>
      </w:r>
    </w:p>
    <w:p w14:paraId="23025C38" w14:textId="77777777" w:rsidR="00C263A8" w:rsidRPr="008413C5" w:rsidRDefault="00692D54" w:rsidP="00CC0C5F">
      <w:pPr>
        <w:pStyle w:val="Paragraphedeliste"/>
        <w:numPr>
          <w:ilvl w:val="0"/>
          <w:numId w:val="2"/>
        </w:numPr>
        <w:suppressAutoHyphens w:val="0"/>
        <w:spacing w:line="240" w:lineRule="auto"/>
        <w:jc w:val="both"/>
        <w:textAlignment w:val="auto"/>
        <w:rPr>
          <w:rFonts w:ascii="Arial" w:hAnsi="Arial" w:cs="Arial"/>
          <w:sz w:val="24"/>
          <w:szCs w:val="24"/>
        </w:rPr>
      </w:pPr>
      <w:r w:rsidRPr="008413C5">
        <w:rPr>
          <w:rFonts w:ascii="Arial" w:hAnsi="Arial" w:cs="Arial"/>
          <w:sz w:val="24"/>
          <w:szCs w:val="24"/>
        </w:rPr>
        <w:t xml:space="preserve">Résumer en 8 – 10 lignes le contenu du </w:t>
      </w:r>
      <w:r w:rsidRPr="008413C5">
        <w:rPr>
          <w:rFonts w:ascii="Arial" w:hAnsi="Arial" w:cs="Arial"/>
          <w:b/>
          <w:bCs/>
          <w:sz w:val="24"/>
          <w:szCs w:val="24"/>
        </w:rPr>
        <w:t>DOCUMENT 1</w:t>
      </w:r>
      <w:r w:rsidRPr="008413C5">
        <w:rPr>
          <w:rFonts w:ascii="Arial" w:hAnsi="Arial" w:cs="Arial"/>
          <w:sz w:val="24"/>
          <w:szCs w:val="24"/>
        </w:rPr>
        <w:t>.</w:t>
      </w:r>
    </w:p>
    <w:p w14:paraId="7D9F9CD3" w14:textId="02F36C80" w:rsidR="00CC0C5F" w:rsidRPr="00427211" w:rsidRDefault="00692D54" w:rsidP="00CC0C5F">
      <w:pPr>
        <w:pStyle w:val="Paragraphedeliste"/>
        <w:numPr>
          <w:ilvl w:val="0"/>
          <w:numId w:val="2"/>
        </w:numPr>
        <w:suppressAutoHyphens w:val="0"/>
        <w:spacing w:line="240" w:lineRule="auto"/>
        <w:jc w:val="both"/>
        <w:textAlignment w:val="auto"/>
        <w:rPr>
          <w:rFonts w:ascii="Arial" w:hAnsi="Arial" w:cs="Arial"/>
          <w:sz w:val="24"/>
          <w:szCs w:val="24"/>
        </w:rPr>
      </w:pPr>
      <w:r w:rsidRPr="008413C5">
        <w:rPr>
          <w:rFonts w:ascii="Arial" w:hAnsi="Arial" w:cs="Arial"/>
          <w:sz w:val="24"/>
          <w:szCs w:val="24"/>
        </w:rPr>
        <w:t xml:space="preserve">Repérer les idées principales du </w:t>
      </w:r>
      <w:r w:rsidRPr="008413C5">
        <w:rPr>
          <w:rFonts w:ascii="Arial" w:hAnsi="Arial" w:cs="Arial"/>
          <w:b/>
          <w:bCs/>
          <w:sz w:val="24"/>
          <w:szCs w:val="24"/>
        </w:rPr>
        <w:t>DOCUMENT 2</w:t>
      </w:r>
      <w:r w:rsidRPr="008413C5">
        <w:rPr>
          <w:rFonts w:ascii="Arial" w:hAnsi="Arial" w:cs="Arial"/>
          <w:sz w:val="24"/>
          <w:szCs w:val="24"/>
        </w:rPr>
        <w:t xml:space="preserve"> en complétant l’</w:t>
      </w:r>
      <w:r w:rsidRPr="008413C5">
        <w:rPr>
          <w:rFonts w:ascii="Arial" w:hAnsi="Arial" w:cs="Arial"/>
          <w:b/>
          <w:bCs/>
          <w:sz w:val="24"/>
          <w:szCs w:val="24"/>
        </w:rPr>
        <w:t>ANNEXE 1</w:t>
      </w:r>
      <w:r w:rsidRPr="008413C5">
        <w:rPr>
          <w:rFonts w:ascii="Arial" w:hAnsi="Arial" w:cs="Arial"/>
          <w:sz w:val="24"/>
          <w:szCs w:val="24"/>
        </w:rPr>
        <w:t>.</w:t>
      </w:r>
    </w:p>
    <w:p w14:paraId="45776D5F" w14:textId="77777777" w:rsidR="00427211" w:rsidRDefault="008413C5" w:rsidP="00427211">
      <w:pPr>
        <w:pStyle w:val="Paragraphedeliste"/>
        <w:numPr>
          <w:ilvl w:val="0"/>
          <w:numId w:val="2"/>
        </w:numPr>
        <w:suppressAutoHyphens w:val="0"/>
        <w:spacing w:line="240" w:lineRule="auto"/>
        <w:jc w:val="both"/>
        <w:textAlignment w:val="auto"/>
        <w:rPr>
          <w:rFonts w:ascii="Arial" w:hAnsi="Arial" w:cs="Arial"/>
          <w:sz w:val="24"/>
          <w:szCs w:val="24"/>
        </w:rPr>
      </w:pPr>
      <w:r w:rsidRPr="008413C5">
        <w:rPr>
          <w:rFonts w:ascii="Arial" w:hAnsi="Arial" w:cs="Arial"/>
          <w:sz w:val="24"/>
          <w:szCs w:val="24"/>
        </w:rPr>
        <w:t xml:space="preserve">À </w:t>
      </w:r>
      <w:r w:rsidR="00CC0C5F" w:rsidRPr="008413C5">
        <w:rPr>
          <w:rFonts w:ascii="Arial" w:hAnsi="Arial" w:cs="Arial"/>
          <w:sz w:val="24"/>
          <w:szCs w:val="24"/>
        </w:rPr>
        <w:t>l’aide des documents et de vos connaissances, répondre aux questions suivantes :</w:t>
      </w:r>
    </w:p>
    <w:p w14:paraId="047AD08C" w14:textId="7AF526B9" w:rsidR="00CC0C5F" w:rsidRPr="00427211" w:rsidRDefault="00427211" w:rsidP="00427211">
      <w:pPr>
        <w:pStyle w:val="Paragraphedeliste"/>
        <w:numPr>
          <w:ilvl w:val="1"/>
          <w:numId w:val="16"/>
        </w:numPr>
        <w:suppressAutoHyphens w:val="0"/>
        <w:spacing w:line="240" w:lineRule="auto"/>
        <w:jc w:val="both"/>
        <w:textAlignment w:val="auto"/>
        <w:rPr>
          <w:rFonts w:ascii="Arial" w:hAnsi="Arial" w:cs="Arial"/>
          <w:sz w:val="24"/>
          <w:szCs w:val="24"/>
        </w:rPr>
      </w:pPr>
      <w:r>
        <w:rPr>
          <w:rFonts w:ascii="Arial" w:hAnsi="Arial" w:cs="Arial"/>
          <w:sz w:val="24"/>
          <w:szCs w:val="24"/>
        </w:rPr>
        <w:t>D</w:t>
      </w:r>
      <w:r w:rsidR="00692D54" w:rsidRPr="00427211">
        <w:rPr>
          <w:rFonts w:ascii="Arial" w:hAnsi="Arial" w:cs="Arial"/>
          <w:sz w:val="24"/>
          <w:szCs w:val="24"/>
        </w:rPr>
        <w:t xml:space="preserve">égager les principaux enjeux </w:t>
      </w:r>
      <w:r w:rsidR="008757E4" w:rsidRPr="00427211">
        <w:rPr>
          <w:rFonts w:ascii="Arial" w:hAnsi="Arial" w:cs="Arial"/>
          <w:sz w:val="24"/>
          <w:szCs w:val="24"/>
        </w:rPr>
        <w:t xml:space="preserve">(commerciaux, organisationnels et humains) </w:t>
      </w:r>
      <w:r w:rsidR="00692D54" w:rsidRPr="00427211">
        <w:rPr>
          <w:rFonts w:ascii="Arial" w:hAnsi="Arial" w:cs="Arial"/>
          <w:sz w:val="24"/>
          <w:szCs w:val="24"/>
        </w:rPr>
        <w:t>de la mise en place d’une politique de formation continue pour une entreprise.</w:t>
      </w:r>
    </w:p>
    <w:p w14:paraId="197C9DB4" w14:textId="61089698" w:rsidR="00C263A8" w:rsidRPr="00427211" w:rsidRDefault="00427211" w:rsidP="00427211">
      <w:pPr>
        <w:suppressAutoHyphens w:val="0"/>
        <w:spacing w:line="240" w:lineRule="auto"/>
        <w:ind w:left="708"/>
        <w:jc w:val="both"/>
        <w:textAlignment w:val="auto"/>
        <w:rPr>
          <w:rFonts w:ascii="Arial" w:hAnsi="Arial" w:cs="Arial"/>
          <w:sz w:val="24"/>
          <w:szCs w:val="24"/>
        </w:rPr>
      </w:pPr>
      <w:r>
        <w:rPr>
          <w:rFonts w:ascii="Arial" w:hAnsi="Arial" w:cs="Arial"/>
          <w:sz w:val="24"/>
          <w:szCs w:val="24"/>
        </w:rPr>
        <w:t>3.2 E</w:t>
      </w:r>
      <w:r w:rsidRPr="00427211">
        <w:rPr>
          <w:rFonts w:ascii="Arial" w:hAnsi="Arial" w:cs="Arial"/>
          <w:sz w:val="24"/>
          <w:szCs w:val="24"/>
        </w:rPr>
        <w:t>xpliquer</w:t>
      </w:r>
      <w:r w:rsidR="00692D54" w:rsidRPr="00427211">
        <w:rPr>
          <w:rFonts w:ascii="Arial" w:hAnsi="Arial" w:cs="Arial"/>
          <w:sz w:val="24"/>
          <w:szCs w:val="24"/>
        </w:rPr>
        <w:t xml:space="preserve"> la sens de la phrase suivante : « </w:t>
      </w:r>
      <w:r w:rsidR="00692D54" w:rsidRPr="00427211">
        <w:rPr>
          <w:rFonts w:ascii="Arial" w:hAnsi="Arial" w:cs="Arial"/>
          <w:b/>
          <w:bCs/>
          <w:i/>
          <w:iCs/>
          <w:sz w:val="24"/>
          <w:szCs w:val="24"/>
        </w:rPr>
        <w:t>engageant le groupe dans une démarche responsable</w:t>
      </w:r>
      <w:r w:rsidR="00692D54" w:rsidRPr="00427211">
        <w:rPr>
          <w:rFonts w:ascii="Arial" w:hAnsi="Arial" w:cs="Arial"/>
          <w:b/>
          <w:bCs/>
          <w:sz w:val="24"/>
          <w:szCs w:val="24"/>
        </w:rPr>
        <w:t> » - Voir contexte</w:t>
      </w:r>
      <w:r w:rsidR="00692D54" w:rsidRPr="00427211">
        <w:rPr>
          <w:rFonts w:ascii="Arial" w:hAnsi="Arial" w:cs="Arial"/>
          <w:sz w:val="24"/>
          <w:szCs w:val="24"/>
        </w:rPr>
        <w:t>.</w:t>
      </w:r>
    </w:p>
    <w:p w14:paraId="5CBABE68" w14:textId="77777777" w:rsidR="00C263A8" w:rsidRPr="008413C5" w:rsidRDefault="00C263A8" w:rsidP="00CC0C5F">
      <w:pPr>
        <w:jc w:val="both"/>
        <w:rPr>
          <w:rFonts w:ascii="Arial" w:hAnsi="Arial" w:cs="Arial"/>
          <w:b/>
          <w:bCs/>
          <w:sz w:val="24"/>
          <w:szCs w:val="24"/>
        </w:rPr>
      </w:pPr>
    </w:p>
    <w:p w14:paraId="03278895" w14:textId="77777777" w:rsidR="00C263A8" w:rsidRPr="008413C5" w:rsidRDefault="00692D54" w:rsidP="00CC0C5F">
      <w:pPr>
        <w:jc w:val="both"/>
        <w:rPr>
          <w:rFonts w:ascii="Arial" w:hAnsi="Arial" w:cs="Arial"/>
          <w:b/>
          <w:bCs/>
          <w:sz w:val="24"/>
          <w:szCs w:val="24"/>
        </w:rPr>
      </w:pPr>
      <w:r w:rsidRPr="008413C5">
        <w:rPr>
          <w:rFonts w:ascii="Arial" w:hAnsi="Arial" w:cs="Arial"/>
          <w:b/>
          <w:bCs/>
          <w:sz w:val="24"/>
          <w:szCs w:val="24"/>
        </w:rPr>
        <w:t xml:space="preserve">DEUXIÈME PARTIE – ÉCRIT STRUCTURÉ </w:t>
      </w:r>
    </w:p>
    <w:p w14:paraId="1EAF65B7" w14:textId="77777777" w:rsidR="00C263A8" w:rsidRPr="008413C5" w:rsidRDefault="00692D54" w:rsidP="00CC0C5F">
      <w:pPr>
        <w:suppressAutoHyphens w:val="0"/>
        <w:jc w:val="both"/>
        <w:textAlignment w:val="auto"/>
        <w:rPr>
          <w:rFonts w:ascii="Arial" w:hAnsi="Arial" w:cs="Arial"/>
          <w:b/>
          <w:bCs/>
          <w:sz w:val="24"/>
          <w:szCs w:val="24"/>
        </w:rPr>
      </w:pPr>
      <w:r w:rsidRPr="008413C5">
        <w:rPr>
          <w:rFonts w:ascii="Arial" w:hAnsi="Arial" w:cs="Arial"/>
          <w:b/>
          <w:bCs/>
          <w:sz w:val="24"/>
          <w:szCs w:val="24"/>
        </w:rPr>
        <w:t xml:space="preserve">À l’aide de vos connaissances et du dossier joint, rédiger une réponse structurée et argumentée (en suivant le plan proposé ci-dessous) à la question posée par Madame LEROY : </w:t>
      </w:r>
    </w:p>
    <w:p w14:paraId="4F6A3377" w14:textId="77777777" w:rsidR="00427211" w:rsidRDefault="00427211" w:rsidP="00CC0C5F">
      <w:pPr>
        <w:jc w:val="center"/>
        <w:rPr>
          <w:rFonts w:ascii="Arial" w:hAnsi="Arial" w:cs="Arial"/>
          <w:b/>
          <w:bCs/>
          <w:sz w:val="24"/>
          <w:szCs w:val="24"/>
        </w:rPr>
      </w:pPr>
    </w:p>
    <w:p w14:paraId="49DDF00E" w14:textId="4589B825" w:rsidR="00C263A8" w:rsidRPr="0021709A" w:rsidRDefault="00692D54" w:rsidP="00CC0C5F">
      <w:pPr>
        <w:jc w:val="center"/>
        <w:rPr>
          <w:rFonts w:ascii="Arial" w:hAnsi="Arial" w:cs="Arial"/>
          <w:b/>
          <w:bCs/>
          <w:sz w:val="24"/>
          <w:szCs w:val="24"/>
        </w:rPr>
      </w:pPr>
      <w:r w:rsidRPr="0021709A">
        <w:rPr>
          <w:rFonts w:ascii="Arial" w:hAnsi="Arial" w:cs="Arial"/>
          <w:b/>
          <w:bCs/>
          <w:sz w:val="24"/>
          <w:szCs w:val="24"/>
        </w:rPr>
        <w:t>La formation professionnelle continue permet-elle aux entreprises de s’adapter aux mutations de leur secteur d’activité ?</w:t>
      </w:r>
    </w:p>
    <w:p w14:paraId="522CA2BA" w14:textId="77777777" w:rsidR="00427211" w:rsidRPr="008413C5" w:rsidRDefault="00427211" w:rsidP="00CC0C5F">
      <w:pPr>
        <w:jc w:val="center"/>
        <w:rPr>
          <w:rFonts w:ascii="Arial" w:hAnsi="Arial" w:cs="Arial"/>
          <w:b/>
          <w:bCs/>
          <w:sz w:val="24"/>
          <w:szCs w:val="24"/>
        </w:rPr>
      </w:pPr>
    </w:p>
    <w:p w14:paraId="624F1A02" w14:textId="77777777" w:rsidR="00C263A8" w:rsidRDefault="00692D54" w:rsidP="00CC0C5F">
      <w:pPr>
        <w:suppressAutoHyphens w:val="0"/>
        <w:jc w:val="both"/>
        <w:textAlignment w:val="auto"/>
        <w:rPr>
          <w:rFonts w:ascii="Arial" w:hAnsi="Arial" w:cs="Arial"/>
          <w:b/>
          <w:bCs/>
          <w:sz w:val="24"/>
          <w:szCs w:val="24"/>
        </w:rPr>
      </w:pPr>
      <w:r w:rsidRPr="008413C5">
        <w:rPr>
          <w:rFonts w:ascii="Arial" w:hAnsi="Arial" w:cs="Arial"/>
          <w:b/>
          <w:bCs/>
          <w:sz w:val="24"/>
          <w:szCs w:val="24"/>
        </w:rPr>
        <w:t xml:space="preserve">Dans une introduction, présenter la problématique, expliciter les concepts essentiels et annoncer le plan. </w:t>
      </w:r>
    </w:p>
    <w:p w14:paraId="5D6A1924" w14:textId="77777777" w:rsidR="00427211" w:rsidRPr="008413C5" w:rsidRDefault="00427211" w:rsidP="00CC0C5F">
      <w:pPr>
        <w:suppressAutoHyphens w:val="0"/>
        <w:jc w:val="both"/>
        <w:textAlignment w:val="auto"/>
        <w:rPr>
          <w:rFonts w:ascii="Arial" w:hAnsi="Arial" w:cs="Arial"/>
          <w:b/>
          <w:bCs/>
          <w:sz w:val="24"/>
          <w:szCs w:val="24"/>
        </w:rPr>
      </w:pPr>
    </w:p>
    <w:p w14:paraId="0FA59F2A" w14:textId="15692883" w:rsidR="00C263A8" w:rsidRPr="008413C5" w:rsidRDefault="005A1C86" w:rsidP="00CC0C5F">
      <w:pPr>
        <w:pStyle w:val="Paragraphedeliste"/>
        <w:numPr>
          <w:ilvl w:val="0"/>
          <w:numId w:val="3"/>
        </w:numPr>
        <w:jc w:val="both"/>
        <w:rPr>
          <w:rFonts w:ascii="Arial" w:hAnsi="Arial" w:cs="Arial"/>
          <w:b/>
          <w:bCs/>
          <w:sz w:val="24"/>
          <w:szCs w:val="24"/>
        </w:rPr>
      </w:pPr>
      <w:r w:rsidRPr="008413C5">
        <w:rPr>
          <w:rFonts w:ascii="Arial" w:hAnsi="Arial" w:cs="Arial"/>
          <w:b/>
          <w:bCs/>
          <w:sz w:val="24"/>
          <w:szCs w:val="24"/>
        </w:rPr>
        <w:t xml:space="preserve">Un </w:t>
      </w:r>
      <w:r w:rsidR="00692D54" w:rsidRPr="008413C5">
        <w:rPr>
          <w:rFonts w:ascii="Arial" w:hAnsi="Arial" w:cs="Arial"/>
          <w:b/>
          <w:bCs/>
          <w:sz w:val="24"/>
          <w:szCs w:val="24"/>
        </w:rPr>
        <w:t>levier de performance et d’adaptation aux mutations</w:t>
      </w:r>
    </w:p>
    <w:p w14:paraId="71DFCA19" w14:textId="77777777" w:rsidR="00C263A8" w:rsidRPr="008413C5" w:rsidRDefault="00E949AC" w:rsidP="00CC0C5F">
      <w:pPr>
        <w:pStyle w:val="Paragraphedeliste"/>
        <w:numPr>
          <w:ilvl w:val="0"/>
          <w:numId w:val="4"/>
        </w:numPr>
        <w:jc w:val="both"/>
        <w:rPr>
          <w:rFonts w:ascii="Arial" w:hAnsi="Arial" w:cs="Arial"/>
          <w:sz w:val="24"/>
          <w:szCs w:val="24"/>
        </w:rPr>
      </w:pPr>
      <w:r w:rsidRPr="008413C5">
        <w:rPr>
          <w:rFonts w:ascii="Arial" w:hAnsi="Arial" w:cs="Arial"/>
          <w:sz w:val="24"/>
          <w:szCs w:val="24"/>
        </w:rPr>
        <w:t>Favoriser le développement de l’organisation</w:t>
      </w:r>
    </w:p>
    <w:p w14:paraId="2E1F1A00" w14:textId="77777777" w:rsidR="00C263A8" w:rsidRDefault="00DA753A" w:rsidP="00CC0C5F">
      <w:pPr>
        <w:pStyle w:val="Paragraphedeliste"/>
        <w:numPr>
          <w:ilvl w:val="0"/>
          <w:numId w:val="4"/>
        </w:numPr>
        <w:jc w:val="both"/>
        <w:rPr>
          <w:rFonts w:ascii="Arial" w:hAnsi="Arial" w:cs="Arial"/>
          <w:sz w:val="24"/>
          <w:szCs w:val="24"/>
        </w:rPr>
      </w:pPr>
      <w:r w:rsidRPr="008413C5">
        <w:rPr>
          <w:rFonts w:ascii="Arial" w:hAnsi="Arial" w:cs="Arial"/>
          <w:sz w:val="24"/>
          <w:szCs w:val="24"/>
        </w:rPr>
        <w:t>Offrir des perspectives pour les salariés</w:t>
      </w:r>
    </w:p>
    <w:p w14:paraId="79C7300A" w14:textId="77777777" w:rsidR="00427211" w:rsidRPr="008413C5" w:rsidRDefault="00427211" w:rsidP="00427211">
      <w:pPr>
        <w:pStyle w:val="Paragraphedeliste"/>
        <w:jc w:val="both"/>
        <w:rPr>
          <w:rFonts w:ascii="Arial" w:hAnsi="Arial" w:cs="Arial"/>
          <w:sz w:val="24"/>
          <w:szCs w:val="24"/>
        </w:rPr>
      </w:pPr>
    </w:p>
    <w:p w14:paraId="73CA45EF" w14:textId="77777777" w:rsidR="00C263A8" w:rsidRPr="008413C5" w:rsidRDefault="00692D54" w:rsidP="00CC0C5F">
      <w:pPr>
        <w:pStyle w:val="Paragraphedeliste"/>
        <w:numPr>
          <w:ilvl w:val="0"/>
          <w:numId w:val="3"/>
        </w:numPr>
        <w:jc w:val="both"/>
        <w:rPr>
          <w:rFonts w:ascii="Arial" w:hAnsi="Arial" w:cs="Arial"/>
          <w:b/>
          <w:bCs/>
          <w:sz w:val="24"/>
          <w:szCs w:val="24"/>
        </w:rPr>
      </w:pPr>
      <w:r w:rsidRPr="008413C5">
        <w:rPr>
          <w:rFonts w:ascii="Arial" w:hAnsi="Arial" w:cs="Arial"/>
          <w:b/>
          <w:bCs/>
          <w:sz w:val="24"/>
          <w:szCs w:val="24"/>
        </w:rPr>
        <w:t>Une stratégie à développer</w:t>
      </w:r>
    </w:p>
    <w:p w14:paraId="31E9C6AE" w14:textId="77777777" w:rsidR="00C263A8" w:rsidRPr="008413C5" w:rsidRDefault="00DA753A" w:rsidP="00CC0C5F">
      <w:pPr>
        <w:pStyle w:val="Paragraphedeliste"/>
        <w:numPr>
          <w:ilvl w:val="0"/>
          <w:numId w:val="5"/>
        </w:numPr>
        <w:jc w:val="both"/>
        <w:rPr>
          <w:rFonts w:ascii="Arial" w:hAnsi="Arial" w:cs="Arial"/>
          <w:sz w:val="24"/>
          <w:szCs w:val="24"/>
        </w:rPr>
      </w:pPr>
      <w:r w:rsidRPr="008413C5">
        <w:rPr>
          <w:rFonts w:ascii="Arial" w:hAnsi="Arial" w:cs="Arial"/>
          <w:sz w:val="24"/>
          <w:szCs w:val="24"/>
        </w:rPr>
        <w:t xml:space="preserve">Des investissements à réaliser </w:t>
      </w:r>
    </w:p>
    <w:p w14:paraId="3F74630A" w14:textId="77777777" w:rsidR="00C263A8" w:rsidRPr="008413C5" w:rsidRDefault="00DA753A" w:rsidP="00CC0C5F">
      <w:pPr>
        <w:pStyle w:val="Paragraphedeliste"/>
        <w:numPr>
          <w:ilvl w:val="0"/>
          <w:numId w:val="5"/>
        </w:numPr>
        <w:jc w:val="both"/>
        <w:rPr>
          <w:rFonts w:ascii="Arial" w:hAnsi="Arial" w:cs="Arial"/>
          <w:sz w:val="24"/>
          <w:szCs w:val="24"/>
        </w:rPr>
      </w:pPr>
      <w:r w:rsidRPr="008413C5">
        <w:rPr>
          <w:rFonts w:ascii="Arial" w:hAnsi="Arial" w:cs="Arial"/>
          <w:sz w:val="24"/>
          <w:szCs w:val="24"/>
        </w:rPr>
        <w:t>Une dynamique à trouver</w:t>
      </w:r>
    </w:p>
    <w:p w14:paraId="420A06C7" w14:textId="77777777" w:rsidR="00C263A8" w:rsidRDefault="00C263A8" w:rsidP="00CC0C5F">
      <w:pPr>
        <w:jc w:val="both"/>
        <w:rPr>
          <w:rFonts w:ascii="Arial" w:hAnsi="Arial" w:cs="Arial"/>
          <w:b/>
          <w:bCs/>
          <w:color w:val="FF0000"/>
          <w:sz w:val="24"/>
          <w:szCs w:val="24"/>
        </w:rPr>
      </w:pPr>
    </w:p>
    <w:p w14:paraId="65CAA622" w14:textId="77777777" w:rsidR="00427211" w:rsidRDefault="00427211" w:rsidP="00CC0C5F">
      <w:pPr>
        <w:jc w:val="both"/>
        <w:rPr>
          <w:rFonts w:ascii="Arial" w:hAnsi="Arial" w:cs="Arial"/>
          <w:b/>
          <w:bCs/>
          <w:color w:val="FF0000"/>
          <w:sz w:val="24"/>
          <w:szCs w:val="24"/>
        </w:rPr>
      </w:pPr>
    </w:p>
    <w:p w14:paraId="0214B117" w14:textId="77777777" w:rsidR="00427211" w:rsidRDefault="00427211" w:rsidP="00CC0C5F">
      <w:pPr>
        <w:jc w:val="both"/>
        <w:rPr>
          <w:rFonts w:ascii="Arial" w:hAnsi="Arial" w:cs="Arial"/>
          <w:b/>
          <w:bCs/>
          <w:color w:val="FF0000"/>
          <w:sz w:val="24"/>
          <w:szCs w:val="24"/>
        </w:rPr>
      </w:pPr>
    </w:p>
    <w:p w14:paraId="4E545CF7" w14:textId="77777777" w:rsidR="00427211" w:rsidRDefault="00427211" w:rsidP="00CC0C5F">
      <w:pPr>
        <w:jc w:val="both"/>
        <w:rPr>
          <w:rFonts w:ascii="Arial" w:hAnsi="Arial" w:cs="Arial"/>
          <w:b/>
          <w:bCs/>
          <w:color w:val="FF0000"/>
          <w:sz w:val="24"/>
          <w:szCs w:val="24"/>
        </w:rPr>
      </w:pPr>
    </w:p>
    <w:p w14:paraId="506CA9BE" w14:textId="77777777" w:rsidR="00427211" w:rsidRDefault="00427211" w:rsidP="00CC0C5F">
      <w:pPr>
        <w:jc w:val="both"/>
        <w:rPr>
          <w:rFonts w:ascii="Arial" w:hAnsi="Arial" w:cs="Arial"/>
          <w:b/>
          <w:bCs/>
          <w:color w:val="FF0000"/>
          <w:sz w:val="24"/>
          <w:szCs w:val="24"/>
        </w:rPr>
      </w:pPr>
    </w:p>
    <w:p w14:paraId="4F9617D5" w14:textId="77777777" w:rsidR="00427211" w:rsidRPr="008413C5" w:rsidRDefault="00427211" w:rsidP="00427211">
      <w:pPr>
        <w:jc w:val="both"/>
        <w:rPr>
          <w:rFonts w:ascii="Arial" w:hAnsi="Arial" w:cs="Arial"/>
          <w:b/>
          <w:bCs/>
          <w:color w:val="FF0000"/>
          <w:sz w:val="24"/>
          <w:szCs w:val="24"/>
        </w:rPr>
      </w:pPr>
      <w:r w:rsidRPr="008413C5">
        <w:rPr>
          <w:rFonts w:ascii="Arial" w:hAnsi="Arial" w:cs="Arial"/>
          <w:b/>
          <w:bCs/>
          <w:color w:val="FF0000"/>
          <w:sz w:val="24"/>
          <w:szCs w:val="24"/>
        </w:rPr>
        <w:lastRenderedPageBreak/>
        <w:t>ANNEXE 1 – Idées principales</w:t>
      </w:r>
    </w:p>
    <w:tbl>
      <w:tblPr>
        <w:tblW w:w="9060" w:type="dxa"/>
        <w:tblCellMar>
          <w:left w:w="10" w:type="dxa"/>
          <w:right w:w="10" w:type="dxa"/>
        </w:tblCellMar>
        <w:tblLook w:val="0000" w:firstRow="0" w:lastRow="0" w:firstColumn="0" w:lastColumn="0" w:noHBand="0" w:noVBand="0"/>
      </w:tblPr>
      <w:tblGrid>
        <w:gridCol w:w="2689"/>
        <w:gridCol w:w="6371"/>
      </w:tblGrid>
      <w:tr w:rsidR="00427211" w:rsidRPr="008413C5" w14:paraId="1AE802BF" w14:textId="77777777" w:rsidTr="00731BC8">
        <w:trPr>
          <w:trHeight w:val="574"/>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D1C19" w14:textId="77777777" w:rsidR="00427211" w:rsidRPr="008413C5" w:rsidRDefault="00427211" w:rsidP="00731BC8">
            <w:pPr>
              <w:spacing w:after="0" w:line="240" w:lineRule="auto"/>
              <w:jc w:val="both"/>
              <w:textAlignment w:val="auto"/>
              <w:rPr>
                <w:rFonts w:ascii="Arial" w:hAnsi="Arial" w:cs="Arial"/>
                <w:b/>
                <w:bCs/>
                <w:color w:val="FF0000"/>
                <w:sz w:val="24"/>
                <w:szCs w:val="24"/>
              </w:rPr>
            </w:pPr>
          </w:p>
          <w:p w14:paraId="13CBD422" w14:textId="77777777" w:rsidR="00427211" w:rsidRPr="008413C5" w:rsidRDefault="00427211" w:rsidP="00731BC8">
            <w:pPr>
              <w:spacing w:after="0" w:line="240" w:lineRule="auto"/>
              <w:jc w:val="both"/>
              <w:textAlignment w:val="auto"/>
              <w:rPr>
                <w:rFonts w:ascii="Arial" w:hAnsi="Arial" w:cs="Arial"/>
                <w:b/>
                <w:bCs/>
                <w:color w:val="FF0000"/>
                <w:sz w:val="24"/>
                <w:szCs w:val="24"/>
              </w:rPr>
            </w:pPr>
          </w:p>
          <w:p w14:paraId="0D95E928" w14:textId="77777777" w:rsidR="00427211" w:rsidRPr="008413C5" w:rsidRDefault="00427211" w:rsidP="00731BC8">
            <w:pPr>
              <w:spacing w:after="0" w:line="240" w:lineRule="auto"/>
              <w:jc w:val="both"/>
              <w:textAlignment w:val="auto"/>
              <w:rPr>
                <w:rFonts w:ascii="Arial" w:hAnsi="Arial" w:cs="Arial"/>
                <w:b/>
                <w:bCs/>
                <w:color w:val="FF0000"/>
                <w:sz w:val="24"/>
                <w:szCs w:val="24"/>
              </w:rPr>
            </w:pPr>
          </w:p>
          <w:p w14:paraId="4B1E5DFA" w14:textId="77777777" w:rsidR="00427211" w:rsidRPr="008413C5" w:rsidRDefault="00427211" w:rsidP="00731BC8">
            <w:pPr>
              <w:spacing w:after="0" w:line="240" w:lineRule="auto"/>
              <w:jc w:val="both"/>
              <w:textAlignment w:val="auto"/>
              <w:rPr>
                <w:rFonts w:ascii="Arial" w:hAnsi="Arial" w:cs="Arial"/>
                <w:b/>
                <w:bCs/>
                <w:color w:val="FF0000"/>
                <w:sz w:val="24"/>
                <w:szCs w:val="24"/>
              </w:rPr>
            </w:pPr>
          </w:p>
          <w:p w14:paraId="67080D5E" w14:textId="77777777" w:rsidR="00427211" w:rsidRPr="008413C5" w:rsidRDefault="00427211" w:rsidP="00731BC8">
            <w:pPr>
              <w:spacing w:after="0" w:line="240" w:lineRule="auto"/>
              <w:jc w:val="both"/>
              <w:textAlignment w:val="auto"/>
              <w:rPr>
                <w:rFonts w:ascii="Arial" w:hAnsi="Arial" w:cs="Arial"/>
                <w:b/>
                <w:bCs/>
                <w:sz w:val="24"/>
                <w:szCs w:val="24"/>
              </w:rPr>
            </w:pPr>
            <w:r w:rsidRPr="008413C5">
              <w:rPr>
                <w:rFonts w:ascii="Arial" w:hAnsi="Arial" w:cs="Arial"/>
                <w:b/>
                <w:bCs/>
                <w:sz w:val="24"/>
                <w:szCs w:val="24"/>
              </w:rPr>
              <w:t>Idées principales</w:t>
            </w:r>
          </w:p>
          <w:p w14:paraId="3AF5CF47" w14:textId="77777777" w:rsidR="00427211" w:rsidRPr="008413C5" w:rsidRDefault="00427211" w:rsidP="00731BC8">
            <w:pPr>
              <w:spacing w:after="0" w:line="240" w:lineRule="auto"/>
              <w:jc w:val="both"/>
              <w:textAlignment w:val="auto"/>
              <w:rPr>
                <w:rFonts w:ascii="Arial" w:hAnsi="Arial" w:cs="Arial"/>
                <w:b/>
                <w:bCs/>
                <w:color w:val="FF0000"/>
                <w:sz w:val="24"/>
                <w:szCs w:val="24"/>
              </w:rPr>
            </w:pPr>
          </w:p>
          <w:p w14:paraId="031DA180" w14:textId="77777777" w:rsidR="00427211" w:rsidRPr="008413C5" w:rsidRDefault="00427211" w:rsidP="00731BC8">
            <w:pPr>
              <w:spacing w:after="0" w:line="240" w:lineRule="auto"/>
              <w:jc w:val="both"/>
              <w:textAlignment w:val="auto"/>
              <w:rPr>
                <w:rFonts w:ascii="Arial" w:hAnsi="Arial" w:cs="Arial"/>
                <w:b/>
                <w:bCs/>
                <w:color w:val="FF0000"/>
                <w:sz w:val="24"/>
                <w:szCs w:val="24"/>
              </w:rPr>
            </w:pPr>
          </w:p>
          <w:p w14:paraId="22C962A6" w14:textId="77777777" w:rsidR="00427211" w:rsidRPr="008413C5" w:rsidRDefault="00427211" w:rsidP="00731BC8">
            <w:pPr>
              <w:spacing w:after="0" w:line="240" w:lineRule="auto"/>
              <w:jc w:val="both"/>
              <w:textAlignment w:val="auto"/>
              <w:rPr>
                <w:rFonts w:ascii="Arial" w:hAnsi="Arial" w:cs="Arial"/>
                <w:b/>
                <w:bCs/>
                <w:color w:val="FF0000"/>
                <w:sz w:val="24"/>
                <w:szCs w:val="24"/>
              </w:rPr>
            </w:pPr>
          </w:p>
          <w:p w14:paraId="22DA4829" w14:textId="77777777" w:rsidR="00427211" w:rsidRPr="008413C5" w:rsidRDefault="00427211" w:rsidP="00731BC8">
            <w:pPr>
              <w:spacing w:after="0" w:line="240" w:lineRule="auto"/>
              <w:jc w:val="both"/>
              <w:textAlignment w:val="auto"/>
              <w:rPr>
                <w:rFonts w:ascii="Arial" w:hAnsi="Arial" w:cs="Arial"/>
                <w:b/>
                <w:bCs/>
                <w:color w:val="FF0000"/>
                <w:sz w:val="24"/>
                <w:szCs w:val="24"/>
              </w:rPr>
            </w:pPr>
          </w:p>
        </w:tc>
        <w:tc>
          <w:tcPr>
            <w:tcW w:w="6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F0CCF" w14:textId="77777777" w:rsidR="00427211" w:rsidRPr="008413C5" w:rsidRDefault="00427211" w:rsidP="00731BC8">
            <w:pPr>
              <w:spacing w:after="0" w:line="240" w:lineRule="auto"/>
              <w:jc w:val="both"/>
              <w:textAlignment w:val="auto"/>
              <w:rPr>
                <w:rFonts w:ascii="Arial" w:hAnsi="Arial" w:cs="Arial"/>
                <w:b/>
                <w:bCs/>
                <w:color w:val="FF0000"/>
                <w:sz w:val="24"/>
                <w:szCs w:val="24"/>
              </w:rPr>
            </w:pPr>
          </w:p>
          <w:p w14:paraId="7B6B38B6" w14:textId="655A219F" w:rsidR="00427211" w:rsidRDefault="00427211" w:rsidP="00427211">
            <w:pPr>
              <w:spacing w:after="0" w:line="240" w:lineRule="auto"/>
              <w:jc w:val="both"/>
              <w:textAlignment w:val="auto"/>
              <w:rPr>
                <w:rFonts w:ascii="Arial" w:hAnsi="Arial" w:cs="Arial"/>
                <w:b/>
                <w:bCs/>
                <w:color w:val="FF0000"/>
                <w:sz w:val="24"/>
                <w:szCs w:val="24"/>
              </w:rPr>
            </w:pPr>
          </w:p>
          <w:p w14:paraId="28D7EA01" w14:textId="77777777" w:rsidR="00427211" w:rsidRDefault="00427211" w:rsidP="00427211">
            <w:pPr>
              <w:spacing w:after="0" w:line="240" w:lineRule="auto"/>
              <w:jc w:val="both"/>
              <w:textAlignment w:val="auto"/>
              <w:rPr>
                <w:rFonts w:ascii="Arial" w:hAnsi="Arial" w:cs="Arial"/>
                <w:b/>
                <w:bCs/>
                <w:color w:val="FF0000"/>
                <w:sz w:val="24"/>
                <w:szCs w:val="24"/>
              </w:rPr>
            </w:pPr>
          </w:p>
          <w:p w14:paraId="68929F0A" w14:textId="77777777" w:rsidR="00427211" w:rsidRDefault="00427211" w:rsidP="00427211">
            <w:pPr>
              <w:spacing w:after="0" w:line="240" w:lineRule="auto"/>
              <w:jc w:val="both"/>
              <w:textAlignment w:val="auto"/>
              <w:rPr>
                <w:rFonts w:ascii="Arial" w:hAnsi="Arial" w:cs="Arial"/>
                <w:b/>
                <w:bCs/>
                <w:color w:val="FF0000"/>
                <w:sz w:val="24"/>
                <w:szCs w:val="24"/>
              </w:rPr>
            </w:pPr>
          </w:p>
          <w:p w14:paraId="0F93B706" w14:textId="77777777" w:rsidR="00427211" w:rsidRDefault="00427211" w:rsidP="00427211">
            <w:pPr>
              <w:spacing w:after="0" w:line="240" w:lineRule="auto"/>
              <w:jc w:val="both"/>
              <w:textAlignment w:val="auto"/>
              <w:rPr>
                <w:rFonts w:ascii="Arial" w:hAnsi="Arial" w:cs="Arial"/>
                <w:b/>
                <w:bCs/>
                <w:color w:val="FF0000"/>
                <w:sz w:val="24"/>
                <w:szCs w:val="24"/>
              </w:rPr>
            </w:pPr>
          </w:p>
          <w:p w14:paraId="475DB1A2" w14:textId="77777777" w:rsidR="00427211" w:rsidRDefault="00427211" w:rsidP="00427211">
            <w:pPr>
              <w:spacing w:after="0" w:line="240" w:lineRule="auto"/>
              <w:jc w:val="both"/>
              <w:textAlignment w:val="auto"/>
              <w:rPr>
                <w:rFonts w:ascii="Arial" w:hAnsi="Arial" w:cs="Arial"/>
                <w:b/>
                <w:bCs/>
                <w:color w:val="FF0000"/>
                <w:sz w:val="24"/>
                <w:szCs w:val="24"/>
              </w:rPr>
            </w:pPr>
          </w:p>
          <w:p w14:paraId="3C873DA6" w14:textId="77777777" w:rsidR="00427211" w:rsidRDefault="00427211" w:rsidP="00427211">
            <w:pPr>
              <w:spacing w:after="0" w:line="240" w:lineRule="auto"/>
              <w:jc w:val="both"/>
              <w:textAlignment w:val="auto"/>
              <w:rPr>
                <w:rFonts w:ascii="Arial" w:hAnsi="Arial" w:cs="Arial"/>
                <w:b/>
                <w:bCs/>
                <w:color w:val="FF0000"/>
                <w:sz w:val="24"/>
                <w:szCs w:val="24"/>
              </w:rPr>
            </w:pPr>
          </w:p>
          <w:p w14:paraId="6FD1F42F" w14:textId="77777777" w:rsidR="00427211" w:rsidRDefault="00427211" w:rsidP="00427211">
            <w:pPr>
              <w:spacing w:after="0" w:line="240" w:lineRule="auto"/>
              <w:jc w:val="both"/>
              <w:textAlignment w:val="auto"/>
              <w:rPr>
                <w:rFonts w:ascii="Arial" w:hAnsi="Arial" w:cs="Arial"/>
                <w:b/>
                <w:bCs/>
                <w:color w:val="FF0000"/>
                <w:sz w:val="24"/>
                <w:szCs w:val="24"/>
              </w:rPr>
            </w:pPr>
          </w:p>
          <w:p w14:paraId="41DBE11D" w14:textId="77777777" w:rsidR="00427211" w:rsidRDefault="00427211" w:rsidP="00427211">
            <w:pPr>
              <w:spacing w:after="0" w:line="240" w:lineRule="auto"/>
              <w:jc w:val="both"/>
              <w:textAlignment w:val="auto"/>
              <w:rPr>
                <w:rFonts w:ascii="Arial" w:hAnsi="Arial" w:cs="Arial"/>
                <w:b/>
                <w:bCs/>
                <w:color w:val="FF0000"/>
                <w:sz w:val="24"/>
                <w:szCs w:val="24"/>
              </w:rPr>
            </w:pPr>
          </w:p>
          <w:p w14:paraId="651D035A" w14:textId="77777777" w:rsidR="00427211" w:rsidRDefault="00427211" w:rsidP="00427211">
            <w:pPr>
              <w:spacing w:after="0" w:line="240" w:lineRule="auto"/>
              <w:jc w:val="both"/>
              <w:textAlignment w:val="auto"/>
              <w:rPr>
                <w:rFonts w:ascii="Arial" w:hAnsi="Arial" w:cs="Arial"/>
                <w:b/>
                <w:bCs/>
                <w:color w:val="FF0000"/>
                <w:sz w:val="24"/>
                <w:szCs w:val="24"/>
              </w:rPr>
            </w:pPr>
          </w:p>
          <w:p w14:paraId="68F08CE1" w14:textId="77777777" w:rsidR="00427211" w:rsidRDefault="00427211" w:rsidP="00427211">
            <w:pPr>
              <w:spacing w:after="0" w:line="240" w:lineRule="auto"/>
              <w:jc w:val="both"/>
              <w:textAlignment w:val="auto"/>
              <w:rPr>
                <w:rFonts w:ascii="Arial" w:hAnsi="Arial" w:cs="Arial"/>
                <w:b/>
                <w:bCs/>
                <w:color w:val="FF0000"/>
                <w:sz w:val="24"/>
                <w:szCs w:val="24"/>
              </w:rPr>
            </w:pPr>
          </w:p>
          <w:p w14:paraId="56ECDFFE" w14:textId="77777777" w:rsidR="00427211" w:rsidRDefault="00427211" w:rsidP="00427211">
            <w:pPr>
              <w:spacing w:after="0" w:line="240" w:lineRule="auto"/>
              <w:jc w:val="both"/>
              <w:textAlignment w:val="auto"/>
              <w:rPr>
                <w:rFonts w:ascii="Arial" w:hAnsi="Arial" w:cs="Arial"/>
                <w:b/>
                <w:bCs/>
                <w:color w:val="FF0000"/>
                <w:sz w:val="24"/>
                <w:szCs w:val="24"/>
              </w:rPr>
            </w:pPr>
          </w:p>
          <w:p w14:paraId="10DE15B0" w14:textId="77777777" w:rsidR="00427211" w:rsidRDefault="00427211" w:rsidP="00427211">
            <w:pPr>
              <w:spacing w:after="0" w:line="240" w:lineRule="auto"/>
              <w:jc w:val="both"/>
              <w:textAlignment w:val="auto"/>
              <w:rPr>
                <w:rFonts w:ascii="Arial" w:hAnsi="Arial" w:cs="Arial"/>
                <w:b/>
                <w:bCs/>
                <w:color w:val="FF0000"/>
                <w:sz w:val="24"/>
                <w:szCs w:val="24"/>
              </w:rPr>
            </w:pPr>
          </w:p>
          <w:p w14:paraId="2502CC8B" w14:textId="77777777" w:rsidR="00427211" w:rsidRDefault="00427211" w:rsidP="00427211">
            <w:pPr>
              <w:spacing w:after="0" w:line="240" w:lineRule="auto"/>
              <w:jc w:val="both"/>
              <w:textAlignment w:val="auto"/>
              <w:rPr>
                <w:rFonts w:ascii="Arial" w:hAnsi="Arial" w:cs="Arial"/>
                <w:b/>
                <w:bCs/>
                <w:color w:val="FF0000"/>
                <w:sz w:val="24"/>
                <w:szCs w:val="24"/>
              </w:rPr>
            </w:pPr>
          </w:p>
          <w:p w14:paraId="460FC3EB" w14:textId="77777777" w:rsidR="00427211" w:rsidRDefault="00427211" w:rsidP="00427211">
            <w:pPr>
              <w:spacing w:after="0" w:line="240" w:lineRule="auto"/>
              <w:jc w:val="both"/>
              <w:textAlignment w:val="auto"/>
              <w:rPr>
                <w:rFonts w:ascii="Arial" w:hAnsi="Arial" w:cs="Arial"/>
                <w:b/>
                <w:bCs/>
                <w:color w:val="FF0000"/>
                <w:sz w:val="24"/>
                <w:szCs w:val="24"/>
              </w:rPr>
            </w:pPr>
          </w:p>
          <w:p w14:paraId="42901875" w14:textId="77777777" w:rsidR="00427211" w:rsidRDefault="00427211" w:rsidP="00427211">
            <w:pPr>
              <w:spacing w:after="0" w:line="240" w:lineRule="auto"/>
              <w:jc w:val="both"/>
              <w:textAlignment w:val="auto"/>
              <w:rPr>
                <w:rFonts w:ascii="Arial" w:hAnsi="Arial" w:cs="Arial"/>
                <w:b/>
                <w:bCs/>
                <w:color w:val="FF0000"/>
                <w:sz w:val="24"/>
                <w:szCs w:val="24"/>
              </w:rPr>
            </w:pPr>
          </w:p>
          <w:p w14:paraId="06A11B97" w14:textId="77777777" w:rsidR="00427211" w:rsidRDefault="00427211" w:rsidP="00427211">
            <w:pPr>
              <w:spacing w:after="0" w:line="240" w:lineRule="auto"/>
              <w:jc w:val="both"/>
              <w:textAlignment w:val="auto"/>
              <w:rPr>
                <w:rFonts w:ascii="Arial" w:hAnsi="Arial" w:cs="Arial"/>
                <w:b/>
                <w:bCs/>
                <w:color w:val="FF0000"/>
                <w:sz w:val="24"/>
                <w:szCs w:val="24"/>
              </w:rPr>
            </w:pPr>
          </w:p>
          <w:p w14:paraId="7FDFC508" w14:textId="77777777" w:rsidR="00427211" w:rsidRDefault="00427211" w:rsidP="00427211">
            <w:pPr>
              <w:spacing w:after="0" w:line="240" w:lineRule="auto"/>
              <w:jc w:val="both"/>
              <w:textAlignment w:val="auto"/>
              <w:rPr>
                <w:rFonts w:ascii="Arial" w:hAnsi="Arial" w:cs="Arial"/>
                <w:b/>
                <w:bCs/>
                <w:color w:val="FF0000"/>
                <w:sz w:val="24"/>
                <w:szCs w:val="24"/>
              </w:rPr>
            </w:pPr>
          </w:p>
          <w:p w14:paraId="1E6A54E4" w14:textId="77777777" w:rsidR="00427211" w:rsidRDefault="00427211" w:rsidP="00427211">
            <w:pPr>
              <w:spacing w:after="0" w:line="240" w:lineRule="auto"/>
              <w:jc w:val="both"/>
              <w:textAlignment w:val="auto"/>
              <w:rPr>
                <w:rFonts w:ascii="Arial" w:hAnsi="Arial" w:cs="Arial"/>
                <w:b/>
                <w:bCs/>
                <w:color w:val="FF0000"/>
                <w:sz w:val="24"/>
                <w:szCs w:val="24"/>
              </w:rPr>
            </w:pPr>
          </w:p>
          <w:p w14:paraId="7EE92C9D" w14:textId="77777777" w:rsidR="00427211" w:rsidRDefault="00427211" w:rsidP="00427211">
            <w:pPr>
              <w:spacing w:after="0" w:line="240" w:lineRule="auto"/>
              <w:jc w:val="both"/>
              <w:textAlignment w:val="auto"/>
              <w:rPr>
                <w:rFonts w:ascii="Arial" w:hAnsi="Arial" w:cs="Arial"/>
                <w:b/>
                <w:bCs/>
                <w:color w:val="FF0000"/>
                <w:sz w:val="24"/>
                <w:szCs w:val="24"/>
              </w:rPr>
            </w:pPr>
          </w:p>
          <w:p w14:paraId="03253F34" w14:textId="77777777" w:rsidR="00427211" w:rsidRDefault="00427211" w:rsidP="00427211">
            <w:pPr>
              <w:spacing w:after="0" w:line="240" w:lineRule="auto"/>
              <w:jc w:val="both"/>
              <w:textAlignment w:val="auto"/>
              <w:rPr>
                <w:rFonts w:ascii="Arial" w:hAnsi="Arial" w:cs="Arial"/>
                <w:b/>
                <w:bCs/>
                <w:color w:val="FF0000"/>
                <w:sz w:val="24"/>
                <w:szCs w:val="24"/>
              </w:rPr>
            </w:pPr>
          </w:p>
          <w:p w14:paraId="73C3132D" w14:textId="77777777" w:rsidR="00427211" w:rsidRDefault="00427211" w:rsidP="00427211">
            <w:pPr>
              <w:spacing w:after="0" w:line="240" w:lineRule="auto"/>
              <w:jc w:val="both"/>
              <w:textAlignment w:val="auto"/>
              <w:rPr>
                <w:rFonts w:ascii="Arial" w:hAnsi="Arial" w:cs="Arial"/>
                <w:b/>
                <w:bCs/>
                <w:color w:val="FF0000"/>
                <w:sz w:val="24"/>
                <w:szCs w:val="24"/>
              </w:rPr>
            </w:pPr>
          </w:p>
          <w:p w14:paraId="72E4444C" w14:textId="77777777" w:rsidR="00427211" w:rsidRDefault="00427211" w:rsidP="00427211">
            <w:pPr>
              <w:spacing w:after="0" w:line="240" w:lineRule="auto"/>
              <w:jc w:val="both"/>
              <w:textAlignment w:val="auto"/>
              <w:rPr>
                <w:rFonts w:ascii="Arial" w:hAnsi="Arial" w:cs="Arial"/>
                <w:b/>
                <w:bCs/>
                <w:color w:val="FF0000"/>
                <w:sz w:val="24"/>
                <w:szCs w:val="24"/>
              </w:rPr>
            </w:pPr>
          </w:p>
          <w:p w14:paraId="094CB68F" w14:textId="77777777" w:rsidR="00427211" w:rsidRDefault="00427211" w:rsidP="00427211">
            <w:pPr>
              <w:spacing w:after="0" w:line="240" w:lineRule="auto"/>
              <w:jc w:val="both"/>
              <w:textAlignment w:val="auto"/>
              <w:rPr>
                <w:rFonts w:ascii="Arial" w:hAnsi="Arial" w:cs="Arial"/>
                <w:b/>
                <w:bCs/>
                <w:color w:val="FF0000"/>
                <w:sz w:val="24"/>
                <w:szCs w:val="24"/>
              </w:rPr>
            </w:pPr>
          </w:p>
          <w:p w14:paraId="3EA9454D" w14:textId="77777777" w:rsidR="00427211" w:rsidRDefault="00427211" w:rsidP="00427211">
            <w:pPr>
              <w:spacing w:after="0" w:line="240" w:lineRule="auto"/>
              <w:jc w:val="both"/>
              <w:textAlignment w:val="auto"/>
              <w:rPr>
                <w:rFonts w:ascii="Arial" w:hAnsi="Arial" w:cs="Arial"/>
                <w:b/>
                <w:bCs/>
                <w:color w:val="FF0000"/>
                <w:sz w:val="24"/>
                <w:szCs w:val="24"/>
              </w:rPr>
            </w:pPr>
          </w:p>
          <w:p w14:paraId="3459265A" w14:textId="77777777" w:rsidR="00427211" w:rsidRDefault="00427211" w:rsidP="00427211">
            <w:pPr>
              <w:spacing w:after="0" w:line="240" w:lineRule="auto"/>
              <w:jc w:val="both"/>
              <w:textAlignment w:val="auto"/>
              <w:rPr>
                <w:rFonts w:ascii="Arial" w:hAnsi="Arial" w:cs="Arial"/>
                <w:b/>
                <w:bCs/>
                <w:color w:val="FF0000"/>
                <w:sz w:val="24"/>
                <w:szCs w:val="24"/>
              </w:rPr>
            </w:pPr>
          </w:p>
          <w:p w14:paraId="207AF957" w14:textId="77777777" w:rsidR="00427211" w:rsidRDefault="00427211" w:rsidP="00427211">
            <w:pPr>
              <w:spacing w:after="0" w:line="240" w:lineRule="auto"/>
              <w:jc w:val="both"/>
              <w:textAlignment w:val="auto"/>
              <w:rPr>
                <w:rFonts w:ascii="Arial" w:hAnsi="Arial" w:cs="Arial"/>
                <w:b/>
                <w:bCs/>
                <w:color w:val="FF0000"/>
                <w:sz w:val="24"/>
                <w:szCs w:val="24"/>
              </w:rPr>
            </w:pPr>
          </w:p>
          <w:p w14:paraId="5BDC279F" w14:textId="77777777" w:rsidR="00427211" w:rsidRDefault="00427211" w:rsidP="00427211">
            <w:pPr>
              <w:spacing w:after="0" w:line="240" w:lineRule="auto"/>
              <w:jc w:val="both"/>
              <w:textAlignment w:val="auto"/>
              <w:rPr>
                <w:rFonts w:ascii="Arial" w:hAnsi="Arial" w:cs="Arial"/>
                <w:b/>
                <w:bCs/>
                <w:color w:val="FF0000"/>
                <w:sz w:val="24"/>
                <w:szCs w:val="24"/>
              </w:rPr>
            </w:pPr>
          </w:p>
          <w:p w14:paraId="2B3D5872" w14:textId="77777777" w:rsidR="00427211" w:rsidRDefault="00427211" w:rsidP="00427211">
            <w:pPr>
              <w:spacing w:after="0" w:line="240" w:lineRule="auto"/>
              <w:jc w:val="both"/>
              <w:textAlignment w:val="auto"/>
              <w:rPr>
                <w:rFonts w:ascii="Arial" w:hAnsi="Arial" w:cs="Arial"/>
                <w:b/>
                <w:bCs/>
                <w:color w:val="FF0000"/>
                <w:sz w:val="24"/>
                <w:szCs w:val="24"/>
              </w:rPr>
            </w:pPr>
          </w:p>
          <w:p w14:paraId="49CC4EB8" w14:textId="77777777" w:rsidR="00427211" w:rsidRDefault="00427211" w:rsidP="00427211">
            <w:pPr>
              <w:spacing w:after="0" w:line="240" w:lineRule="auto"/>
              <w:jc w:val="both"/>
              <w:textAlignment w:val="auto"/>
              <w:rPr>
                <w:rFonts w:ascii="Arial" w:hAnsi="Arial" w:cs="Arial"/>
                <w:b/>
                <w:bCs/>
                <w:color w:val="FF0000"/>
                <w:sz w:val="24"/>
                <w:szCs w:val="24"/>
              </w:rPr>
            </w:pPr>
          </w:p>
          <w:p w14:paraId="71A407D4" w14:textId="77777777" w:rsidR="00427211" w:rsidRDefault="00427211" w:rsidP="00427211">
            <w:pPr>
              <w:spacing w:after="0" w:line="240" w:lineRule="auto"/>
              <w:jc w:val="both"/>
              <w:textAlignment w:val="auto"/>
              <w:rPr>
                <w:rFonts w:ascii="Arial" w:hAnsi="Arial" w:cs="Arial"/>
                <w:b/>
                <w:bCs/>
                <w:color w:val="FF0000"/>
                <w:sz w:val="24"/>
                <w:szCs w:val="24"/>
              </w:rPr>
            </w:pPr>
          </w:p>
          <w:p w14:paraId="2C547D0A" w14:textId="77777777" w:rsidR="00427211" w:rsidRDefault="00427211" w:rsidP="00427211">
            <w:pPr>
              <w:spacing w:after="0" w:line="240" w:lineRule="auto"/>
              <w:jc w:val="both"/>
              <w:textAlignment w:val="auto"/>
              <w:rPr>
                <w:rFonts w:ascii="Arial" w:hAnsi="Arial" w:cs="Arial"/>
                <w:b/>
                <w:bCs/>
                <w:color w:val="FF0000"/>
                <w:sz w:val="24"/>
                <w:szCs w:val="24"/>
              </w:rPr>
            </w:pPr>
          </w:p>
          <w:p w14:paraId="0027E4C8" w14:textId="77777777" w:rsidR="00427211" w:rsidRDefault="00427211" w:rsidP="00427211">
            <w:pPr>
              <w:spacing w:after="0" w:line="240" w:lineRule="auto"/>
              <w:jc w:val="both"/>
              <w:textAlignment w:val="auto"/>
              <w:rPr>
                <w:rFonts w:ascii="Arial" w:hAnsi="Arial" w:cs="Arial"/>
                <w:b/>
                <w:bCs/>
                <w:color w:val="FF0000"/>
                <w:sz w:val="24"/>
                <w:szCs w:val="24"/>
              </w:rPr>
            </w:pPr>
          </w:p>
          <w:p w14:paraId="7EFF7BAB" w14:textId="77777777" w:rsidR="00427211" w:rsidRPr="008413C5" w:rsidRDefault="00427211" w:rsidP="00427211">
            <w:pPr>
              <w:spacing w:after="0" w:line="240" w:lineRule="auto"/>
              <w:jc w:val="both"/>
              <w:textAlignment w:val="auto"/>
              <w:rPr>
                <w:rFonts w:ascii="Arial" w:hAnsi="Arial" w:cs="Arial"/>
                <w:b/>
                <w:bCs/>
                <w:color w:val="FF0000"/>
                <w:sz w:val="24"/>
                <w:szCs w:val="24"/>
              </w:rPr>
            </w:pPr>
          </w:p>
          <w:p w14:paraId="4A9A4223" w14:textId="698AEF62" w:rsidR="00427211" w:rsidRPr="008413C5" w:rsidRDefault="00427211" w:rsidP="00731BC8">
            <w:pPr>
              <w:spacing w:after="0" w:line="240" w:lineRule="auto"/>
              <w:jc w:val="both"/>
              <w:textAlignment w:val="auto"/>
              <w:rPr>
                <w:rFonts w:ascii="Arial" w:hAnsi="Arial" w:cs="Arial"/>
                <w:b/>
                <w:bCs/>
                <w:color w:val="FF0000"/>
                <w:sz w:val="24"/>
                <w:szCs w:val="24"/>
              </w:rPr>
            </w:pPr>
          </w:p>
        </w:tc>
      </w:tr>
    </w:tbl>
    <w:p w14:paraId="09899A7A" w14:textId="77777777" w:rsidR="00C263A8" w:rsidRPr="008413C5" w:rsidRDefault="00C263A8">
      <w:pPr>
        <w:jc w:val="both"/>
        <w:rPr>
          <w:rFonts w:ascii="Arial" w:hAnsi="Arial" w:cs="Arial"/>
          <w:b/>
          <w:bCs/>
          <w:color w:val="FF0000"/>
          <w:sz w:val="24"/>
          <w:szCs w:val="24"/>
        </w:rPr>
      </w:pPr>
    </w:p>
    <w:p w14:paraId="7EF7E241" w14:textId="77777777" w:rsidR="00E949AC" w:rsidRPr="008413C5" w:rsidRDefault="00E949AC">
      <w:pPr>
        <w:jc w:val="both"/>
        <w:rPr>
          <w:rFonts w:ascii="Arial" w:hAnsi="Arial" w:cs="Arial"/>
          <w:b/>
          <w:bCs/>
          <w:color w:val="FF0000"/>
          <w:sz w:val="24"/>
          <w:szCs w:val="24"/>
        </w:rPr>
      </w:pPr>
    </w:p>
    <w:p w14:paraId="06AFD0B4" w14:textId="77777777" w:rsidR="00E949AC" w:rsidRPr="008413C5" w:rsidRDefault="00E949AC">
      <w:pPr>
        <w:jc w:val="both"/>
        <w:rPr>
          <w:rFonts w:ascii="Arial" w:hAnsi="Arial" w:cs="Arial"/>
          <w:b/>
          <w:bCs/>
          <w:color w:val="FF0000"/>
          <w:sz w:val="24"/>
          <w:szCs w:val="24"/>
        </w:rPr>
      </w:pPr>
    </w:p>
    <w:p w14:paraId="21E62AE3" w14:textId="77777777" w:rsidR="00E949AC" w:rsidRPr="008413C5" w:rsidRDefault="00E949AC">
      <w:pPr>
        <w:jc w:val="both"/>
        <w:rPr>
          <w:rFonts w:ascii="Arial" w:hAnsi="Arial" w:cs="Arial"/>
          <w:b/>
          <w:bCs/>
          <w:color w:val="FF0000"/>
          <w:sz w:val="24"/>
          <w:szCs w:val="24"/>
        </w:rPr>
      </w:pPr>
    </w:p>
    <w:p w14:paraId="1608015D" w14:textId="77777777" w:rsidR="00E949AC" w:rsidRPr="008413C5" w:rsidRDefault="00E949AC">
      <w:pPr>
        <w:jc w:val="both"/>
        <w:rPr>
          <w:rFonts w:ascii="Arial" w:hAnsi="Arial" w:cs="Arial"/>
          <w:b/>
          <w:bCs/>
          <w:color w:val="FF0000"/>
          <w:sz w:val="24"/>
          <w:szCs w:val="24"/>
        </w:rPr>
      </w:pPr>
    </w:p>
    <w:p w14:paraId="4C28F76B" w14:textId="77777777" w:rsidR="00E949AC" w:rsidRPr="008413C5" w:rsidRDefault="00E949AC">
      <w:pPr>
        <w:jc w:val="both"/>
        <w:rPr>
          <w:rFonts w:ascii="Arial" w:hAnsi="Arial" w:cs="Arial"/>
          <w:b/>
          <w:bCs/>
          <w:color w:val="FF0000"/>
          <w:sz w:val="24"/>
          <w:szCs w:val="24"/>
        </w:rPr>
      </w:pPr>
    </w:p>
    <w:p w14:paraId="5AA8AB45" w14:textId="77777777" w:rsidR="00E949AC" w:rsidRPr="008413C5" w:rsidRDefault="00E949AC">
      <w:pPr>
        <w:jc w:val="both"/>
        <w:rPr>
          <w:rFonts w:ascii="Arial" w:hAnsi="Arial" w:cs="Arial"/>
          <w:b/>
          <w:bCs/>
          <w:color w:val="FF0000"/>
          <w:sz w:val="24"/>
          <w:szCs w:val="24"/>
        </w:rPr>
      </w:pPr>
    </w:p>
    <w:p w14:paraId="13BF6962" w14:textId="77777777" w:rsidR="00E949AC" w:rsidRPr="008413C5" w:rsidRDefault="00E949AC">
      <w:pPr>
        <w:jc w:val="both"/>
        <w:rPr>
          <w:rFonts w:ascii="Arial" w:hAnsi="Arial" w:cs="Arial"/>
          <w:b/>
          <w:bCs/>
          <w:color w:val="FF0000"/>
          <w:sz w:val="24"/>
          <w:szCs w:val="24"/>
        </w:rPr>
      </w:pPr>
    </w:p>
    <w:p w14:paraId="313A9CFC" w14:textId="77777777" w:rsidR="00E949AC" w:rsidRPr="008413C5" w:rsidRDefault="00E949AC">
      <w:pPr>
        <w:jc w:val="both"/>
        <w:rPr>
          <w:rFonts w:ascii="Arial" w:hAnsi="Arial" w:cs="Arial"/>
          <w:b/>
          <w:bCs/>
          <w:color w:val="FF0000"/>
          <w:sz w:val="24"/>
          <w:szCs w:val="24"/>
        </w:rPr>
      </w:pPr>
    </w:p>
    <w:p w14:paraId="4F649FD8" w14:textId="77777777" w:rsidR="008757E4" w:rsidRDefault="008757E4">
      <w:pPr>
        <w:jc w:val="both"/>
        <w:rPr>
          <w:rFonts w:ascii="Arial" w:hAnsi="Arial" w:cs="Arial"/>
          <w:b/>
          <w:bCs/>
        </w:rPr>
      </w:pPr>
    </w:p>
    <w:p w14:paraId="66FBCD9A" w14:textId="77777777" w:rsidR="00C263A8" w:rsidRDefault="00692D54">
      <w:pPr>
        <w:jc w:val="both"/>
      </w:pPr>
      <w:r>
        <w:rPr>
          <w:rFonts w:ascii="Arial" w:hAnsi="Arial" w:cs="Arial"/>
          <w:b/>
          <w:bCs/>
          <w:color w:val="FF0000"/>
        </w:rPr>
        <w:lastRenderedPageBreak/>
        <w:t>DOCUMENT 1 - Comment Orange développe sa formation continue</w:t>
      </w:r>
      <w:r>
        <w:rPr>
          <w:rFonts w:ascii="Arial" w:hAnsi="Arial" w:cs="Arial"/>
          <w:noProof/>
          <w:color w:val="FF0000"/>
          <w:lang w:eastAsia="fr-FR"/>
        </w:rPr>
        <w:drawing>
          <wp:anchor distT="0" distB="0" distL="114300" distR="114300" simplePos="0" relativeHeight="251658240" behindDoc="0" locked="0" layoutInCell="1" allowOverlap="1" wp14:anchorId="3AEA1F37" wp14:editId="42BC635D">
            <wp:simplePos x="0" y="0"/>
            <wp:positionH relativeFrom="margin">
              <wp:align>right</wp:align>
            </wp:positionH>
            <wp:positionV relativeFrom="paragraph">
              <wp:posOffset>6345</wp:posOffset>
            </wp:positionV>
            <wp:extent cx="1249683" cy="1249683"/>
            <wp:effectExtent l="0" t="0" r="7617" b="7617"/>
            <wp:wrapSquare wrapText="bothSides"/>
            <wp:docPr id="4" name="Image 3" descr="Orange (entreprise) — Wikipé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249683" cy="1249683"/>
                    </a:xfrm>
                    <a:prstGeom prst="rect">
                      <a:avLst/>
                    </a:prstGeom>
                    <a:noFill/>
                    <a:ln>
                      <a:noFill/>
                      <a:prstDash/>
                    </a:ln>
                  </pic:spPr>
                </pic:pic>
              </a:graphicData>
            </a:graphic>
          </wp:anchor>
        </w:drawing>
      </w:r>
      <w:r>
        <w:rPr>
          <w:rFonts w:ascii="Arial" w:hAnsi="Arial" w:cs="Arial"/>
          <w:color w:val="FF0000"/>
        </w:rPr>
        <w:t xml:space="preserve"> </w:t>
      </w:r>
    </w:p>
    <w:p w14:paraId="650B7D43" w14:textId="77777777" w:rsidR="00C263A8" w:rsidRDefault="00692D54">
      <w:pPr>
        <w:jc w:val="both"/>
        <w:rPr>
          <w:rFonts w:ascii="Arial" w:hAnsi="Arial" w:cs="Arial"/>
        </w:rPr>
      </w:pPr>
      <w:r>
        <w:rPr>
          <w:rFonts w:ascii="Arial" w:hAnsi="Arial" w:cs="Arial"/>
        </w:rPr>
        <w:t>Pour rester à la pointe de l’innovation et ne pas se laisser distancer par ses concurrents hexagonaux et étrangers, le géant français des télécoms doit en permanence former ses salariés. Entre digital learning, sessions en présentiel, formations courtes ou programmes plus longs et diplômants, Orange investit massivement dans la formation continue de ses salariés. Interview de Vincent Lecerf, Directeur Exécutif en charge des Ressources Humaines d'Orange sur la formation tout au long de la vie professionnelle des collaborateurs du groupe.</w:t>
      </w:r>
    </w:p>
    <w:p w14:paraId="04D157E6" w14:textId="77777777" w:rsidR="00C263A8" w:rsidRDefault="00692D54">
      <w:pPr>
        <w:jc w:val="both"/>
      </w:pPr>
      <w:r>
        <w:rPr>
          <w:rFonts w:ascii="Arial" w:hAnsi="Arial" w:cs="Arial"/>
          <w:b/>
          <w:bCs/>
        </w:rPr>
        <w:t>Capital : A combien s’élève le budget formation continue du groupe Orange</w:t>
      </w:r>
      <w:r>
        <w:rPr>
          <w:rFonts w:ascii="Arial" w:hAnsi="Arial" w:cs="Arial"/>
        </w:rPr>
        <w:t> </w:t>
      </w:r>
      <w:r>
        <w:rPr>
          <w:rFonts w:ascii="Arial" w:hAnsi="Arial" w:cs="Arial"/>
          <w:b/>
          <w:bCs/>
        </w:rPr>
        <w:t>?</w:t>
      </w:r>
    </w:p>
    <w:p w14:paraId="6E25BCE3" w14:textId="77777777" w:rsidR="00C263A8" w:rsidRDefault="00692D54">
      <w:pPr>
        <w:jc w:val="both"/>
      </w:pPr>
      <w:r>
        <w:rPr>
          <w:rFonts w:ascii="Arial" w:hAnsi="Arial" w:cs="Arial"/>
          <w:b/>
          <w:bCs/>
        </w:rPr>
        <w:t>Vincent Lecerf :</w:t>
      </w:r>
      <w:r>
        <w:rPr>
          <w:rFonts w:ascii="Arial" w:hAnsi="Arial" w:cs="Arial"/>
        </w:rPr>
        <w:t xml:space="preserve"> Nous croyons en l’importance de la formation continue et c’est un élément fort de notre approche collective. Nous consacrons chaque année environ 5 % de la masse salariale à la formation continue de nos 75 000 collaborateurs français. Un budget stable. Chez Orange, la formation continue présente deux caractéristiques. Nos technologies évoluent très vite. Nous devons former nos salariés afin qu’ils maîtrisent au mieux ces nouvelles techniques. Cet «upskilling» représente 50 % des formations. Et puis, l’autre enjeu est le «reskilling».</w:t>
      </w:r>
    </w:p>
    <w:p w14:paraId="38CC425B" w14:textId="77777777" w:rsidR="00C263A8" w:rsidRDefault="00692D54">
      <w:pPr>
        <w:jc w:val="both"/>
      </w:pPr>
      <w:r>
        <w:rPr>
          <w:rFonts w:ascii="Arial" w:hAnsi="Arial" w:cs="Arial"/>
          <w:b/>
          <w:bCs/>
        </w:rPr>
        <w:t>Qu’entendez-vous par «reskilling</w:t>
      </w:r>
      <w:r>
        <w:rPr>
          <w:rFonts w:ascii="Arial" w:hAnsi="Arial" w:cs="Arial"/>
        </w:rPr>
        <w:t> </w:t>
      </w:r>
      <w:r>
        <w:rPr>
          <w:rFonts w:ascii="Arial" w:hAnsi="Arial" w:cs="Arial"/>
          <w:b/>
          <w:bCs/>
        </w:rPr>
        <w:t>?</w:t>
      </w:r>
    </w:p>
    <w:p w14:paraId="0F1A7A7F" w14:textId="77777777" w:rsidR="00C263A8" w:rsidRDefault="00692D54">
      <w:pPr>
        <w:jc w:val="both"/>
        <w:rPr>
          <w:rFonts w:ascii="Arial" w:hAnsi="Arial" w:cs="Arial"/>
        </w:rPr>
      </w:pPr>
      <w:r>
        <w:rPr>
          <w:rFonts w:ascii="Arial" w:hAnsi="Arial" w:cs="Arial"/>
        </w:rPr>
        <w:t>Les salariés d’Orange sont très attachés à l’entreprise. L’ancienneté moyenne est de 20 ans et l’âge moyen des collaborateurs s’élève à 49 ans. Nous devons donc investir massivement pour leur permettre de constamment évoluer vers de nouveaux métiers. Pour certains salariés, cela implique de changer complètement de filière.</w:t>
      </w:r>
    </w:p>
    <w:p w14:paraId="05DA2106" w14:textId="77777777" w:rsidR="00C263A8" w:rsidRDefault="00692D54">
      <w:pPr>
        <w:jc w:val="both"/>
      </w:pPr>
      <w:r>
        <w:rPr>
          <w:rFonts w:ascii="Arial" w:hAnsi="Arial" w:cs="Arial"/>
          <w:b/>
          <w:bCs/>
        </w:rPr>
        <w:t>Un exemple</w:t>
      </w:r>
      <w:r>
        <w:rPr>
          <w:rFonts w:ascii="Arial" w:hAnsi="Arial" w:cs="Arial"/>
        </w:rPr>
        <w:t> </w:t>
      </w:r>
      <w:r>
        <w:rPr>
          <w:rFonts w:ascii="Arial" w:hAnsi="Arial" w:cs="Arial"/>
          <w:b/>
          <w:bCs/>
        </w:rPr>
        <w:t>?</w:t>
      </w:r>
    </w:p>
    <w:p w14:paraId="1C319037" w14:textId="77777777" w:rsidR="00C263A8" w:rsidRDefault="00692D54">
      <w:pPr>
        <w:jc w:val="both"/>
        <w:rPr>
          <w:rFonts w:ascii="Arial" w:hAnsi="Arial" w:cs="Arial"/>
        </w:rPr>
      </w:pPr>
      <w:r>
        <w:rPr>
          <w:rFonts w:ascii="Arial" w:hAnsi="Arial" w:cs="Arial"/>
        </w:rPr>
        <w:t>Un manager d’un service technique s’est par exemple reconverti en interne pour devenir un spécialiste de la cybersécurité. Pour cela, il a été accompagné dans sa formation et sa prise de poste.</w:t>
      </w:r>
    </w:p>
    <w:p w14:paraId="347647D3" w14:textId="77777777" w:rsidR="00C263A8" w:rsidRDefault="00692D54">
      <w:pPr>
        <w:jc w:val="both"/>
      </w:pPr>
      <w:r>
        <w:rPr>
          <w:rFonts w:ascii="Arial" w:hAnsi="Arial" w:cs="Arial"/>
          <w:b/>
          <w:bCs/>
        </w:rPr>
        <w:t>Garantissez-vous un poste en sortie de «reskilling » aux salariés engagés dans ce type de démarche</w:t>
      </w:r>
      <w:r>
        <w:rPr>
          <w:rFonts w:ascii="Arial" w:hAnsi="Arial" w:cs="Arial"/>
        </w:rPr>
        <w:t> </w:t>
      </w:r>
      <w:r>
        <w:rPr>
          <w:rFonts w:ascii="Arial" w:hAnsi="Arial" w:cs="Arial"/>
          <w:b/>
          <w:bCs/>
        </w:rPr>
        <w:t>?</w:t>
      </w:r>
    </w:p>
    <w:p w14:paraId="38AE4C2F" w14:textId="77777777" w:rsidR="00C263A8" w:rsidRDefault="00692D54">
      <w:pPr>
        <w:jc w:val="both"/>
        <w:rPr>
          <w:rFonts w:ascii="Arial" w:hAnsi="Arial" w:cs="Arial"/>
        </w:rPr>
      </w:pPr>
      <w:r>
        <w:rPr>
          <w:rFonts w:ascii="Arial" w:hAnsi="Arial" w:cs="Arial"/>
        </w:rPr>
        <w:t>C’est aussi notre rôle. Ces formations durent entre trois et douze mois, elles sont donc très engageantes pour les collaborateurs. On se doit de prioriser des postes pour eux. Cela participe de notre contrat social. Nous leur garantissons donc un poste chez Orange à l’issue de leur reskilling. En 2023, nous avons enregistré 500 changements de métier.</w:t>
      </w:r>
    </w:p>
    <w:p w14:paraId="11AD7B72" w14:textId="77777777" w:rsidR="00C263A8" w:rsidRDefault="00692D54">
      <w:pPr>
        <w:jc w:val="both"/>
      </w:pPr>
      <w:r>
        <w:rPr>
          <w:rFonts w:ascii="Arial" w:hAnsi="Arial" w:cs="Arial"/>
          <w:b/>
          <w:bCs/>
        </w:rPr>
        <w:t>Quid du maintien de salaire de ces «reconvertis»</w:t>
      </w:r>
      <w:r>
        <w:rPr>
          <w:rFonts w:ascii="Arial" w:hAnsi="Arial" w:cs="Arial"/>
        </w:rPr>
        <w:t> </w:t>
      </w:r>
      <w:r>
        <w:rPr>
          <w:rFonts w:ascii="Arial" w:hAnsi="Arial" w:cs="Arial"/>
          <w:b/>
          <w:bCs/>
        </w:rPr>
        <w:t>?</w:t>
      </w:r>
    </w:p>
    <w:p w14:paraId="47658C1F" w14:textId="77777777" w:rsidR="00C263A8" w:rsidRDefault="00692D54">
      <w:pPr>
        <w:jc w:val="both"/>
        <w:rPr>
          <w:rFonts w:ascii="Arial" w:hAnsi="Arial" w:cs="Arial"/>
        </w:rPr>
      </w:pPr>
      <w:r>
        <w:rPr>
          <w:rFonts w:ascii="Arial" w:hAnsi="Arial" w:cs="Arial"/>
        </w:rPr>
        <w:t>Nous leur garantissons un salaire au moins équivalent à celui de leur précédent poste même si le niveau de leur rémunération peut parfois être supérieur à celui d’un recrutement externe. De plus, ils peuvent dans certains cas percevoir une prime pour acter leur engagement dans ce changement de métier.</w:t>
      </w:r>
    </w:p>
    <w:p w14:paraId="1DBD5496" w14:textId="77777777" w:rsidR="00C263A8" w:rsidRDefault="00692D54">
      <w:pPr>
        <w:jc w:val="both"/>
      </w:pPr>
      <w:r>
        <w:rPr>
          <w:rFonts w:ascii="Arial" w:hAnsi="Arial" w:cs="Arial"/>
          <w:b/>
          <w:bCs/>
        </w:rPr>
        <w:t>Quelle est la proportion de salariés Orange formés chaque année</w:t>
      </w:r>
      <w:r>
        <w:rPr>
          <w:rFonts w:ascii="Arial" w:hAnsi="Arial" w:cs="Arial"/>
        </w:rPr>
        <w:t> </w:t>
      </w:r>
      <w:r>
        <w:rPr>
          <w:rFonts w:ascii="Arial" w:hAnsi="Arial" w:cs="Arial"/>
          <w:b/>
          <w:bCs/>
        </w:rPr>
        <w:t>?</w:t>
      </w:r>
    </w:p>
    <w:p w14:paraId="0362B15F" w14:textId="77777777" w:rsidR="00C263A8" w:rsidRDefault="00692D54">
      <w:pPr>
        <w:jc w:val="both"/>
        <w:rPr>
          <w:rFonts w:ascii="Arial" w:hAnsi="Arial" w:cs="Arial"/>
        </w:rPr>
      </w:pPr>
      <w:r>
        <w:rPr>
          <w:rFonts w:ascii="Arial" w:hAnsi="Arial" w:cs="Arial"/>
        </w:rPr>
        <w:t>L’an passé, 97% des collaborateurs ont reçu au moins une formation. Soit 20,5 heures en moyenne. Une moitié se déroule en présentiel, l’autre à distance via des portails de formation digitaux. A date, on ne compte pas moins de 27 000 modules de formation accessibles en ligne.</w:t>
      </w:r>
      <w:r w:rsidR="002E5E5E">
        <w:rPr>
          <w:rFonts w:ascii="Arial" w:hAnsi="Arial" w:cs="Arial"/>
        </w:rPr>
        <w:t xml:space="preserve"> Nous veillons également à mesurer la satisfaction de nos collaborateurs après chaque formation, cela nous permet d’être en permanence dans une démarche d’</w:t>
      </w:r>
      <w:r w:rsidR="009144F5">
        <w:rPr>
          <w:rFonts w:ascii="Arial" w:hAnsi="Arial" w:cs="Arial"/>
        </w:rPr>
        <w:t>amélioration de notre offre.</w:t>
      </w:r>
    </w:p>
    <w:p w14:paraId="7C3B49CC" w14:textId="5B90D4CD" w:rsidR="00C263A8" w:rsidRDefault="00692D54">
      <w:r>
        <w:rPr>
          <w:rFonts w:ascii="Arial" w:hAnsi="Arial" w:cs="Arial"/>
        </w:rPr>
        <w:t xml:space="preserve">Source : </w:t>
      </w:r>
      <w:hyperlink r:id="rId10" w:history="1">
        <w:r>
          <w:rPr>
            <w:rStyle w:val="Lienhypertexte"/>
            <w:rFonts w:ascii="Arial" w:hAnsi="Arial" w:cs="Arial"/>
          </w:rPr>
          <w:t>www.capital.fr</w:t>
        </w:r>
      </w:hyperlink>
      <w:r>
        <w:rPr>
          <w:rFonts w:ascii="Arial" w:hAnsi="Arial" w:cs="Arial"/>
        </w:rPr>
        <w:t xml:space="preserve"> 14/10/2024 </w:t>
      </w:r>
      <w:r w:rsidR="00D66437">
        <w:rPr>
          <w:rFonts w:ascii="Arial" w:hAnsi="Arial" w:cs="Arial"/>
        </w:rPr>
        <w:t xml:space="preserve">modifiée par l’auteur </w:t>
      </w:r>
    </w:p>
    <w:p w14:paraId="098B1179" w14:textId="77777777" w:rsidR="00C263A8" w:rsidRDefault="00C263A8">
      <w:pPr>
        <w:rPr>
          <w:rFonts w:ascii="Arial" w:hAnsi="Arial" w:cs="Arial"/>
        </w:rPr>
      </w:pPr>
    </w:p>
    <w:p w14:paraId="3FC4558D" w14:textId="77777777" w:rsidR="005A1C86" w:rsidRDefault="005A1C86">
      <w:pPr>
        <w:rPr>
          <w:rFonts w:ascii="Arial" w:hAnsi="Arial" w:cs="Arial"/>
        </w:rPr>
      </w:pPr>
    </w:p>
    <w:p w14:paraId="71C79584" w14:textId="77777777" w:rsidR="005A1C86" w:rsidRDefault="005A1C86">
      <w:pPr>
        <w:rPr>
          <w:rFonts w:ascii="Arial" w:hAnsi="Arial" w:cs="Arial"/>
        </w:rPr>
      </w:pPr>
    </w:p>
    <w:p w14:paraId="3729F3E6" w14:textId="77777777" w:rsidR="00C263A8" w:rsidRDefault="00692D54">
      <w:pPr>
        <w:rPr>
          <w:rFonts w:ascii="Arial" w:hAnsi="Arial" w:cs="Arial"/>
          <w:b/>
          <w:bCs/>
          <w:color w:val="FF0000"/>
        </w:rPr>
      </w:pPr>
      <w:r>
        <w:rPr>
          <w:rFonts w:ascii="Arial" w:hAnsi="Arial" w:cs="Arial"/>
          <w:b/>
          <w:bCs/>
          <w:color w:val="FF0000"/>
        </w:rPr>
        <w:lastRenderedPageBreak/>
        <w:t>DOCUMENT 2 - Infographie</w:t>
      </w:r>
    </w:p>
    <w:p w14:paraId="5F7E8715" w14:textId="77777777" w:rsidR="00C263A8" w:rsidRDefault="00692D54">
      <w:r>
        <w:rPr>
          <w:rFonts w:ascii="Arial" w:hAnsi="Arial" w:cs="Arial"/>
          <w:noProof/>
          <w:lang w:eastAsia="fr-FR"/>
        </w:rPr>
        <w:drawing>
          <wp:anchor distT="0" distB="0" distL="114300" distR="114300" simplePos="0" relativeHeight="251659264" behindDoc="0" locked="0" layoutInCell="1" allowOverlap="1" wp14:anchorId="503CAD38" wp14:editId="103D31F9">
            <wp:simplePos x="0" y="0"/>
            <wp:positionH relativeFrom="margin">
              <wp:align>center</wp:align>
            </wp:positionH>
            <wp:positionV relativeFrom="paragraph">
              <wp:posOffset>107313</wp:posOffset>
            </wp:positionV>
            <wp:extent cx="6422571" cy="8752114"/>
            <wp:effectExtent l="0" t="0" r="0" b="0"/>
            <wp:wrapNone/>
            <wp:docPr id="5" name="Image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r="853" b="4478"/>
                    <a:stretch/>
                  </pic:blipFill>
                  <pic:spPr bwMode="auto">
                    <a:xfrm>
                      <a:off x="0" y="0"/>
                      <a:ext cx="6423013" cy="87527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112A3E" w14:textId="77777777" w:rsidR="00C263A8" w:rsidRDefault="00C263A8">
      <w:pPr>
        <w:rPr>
          <w:rFonts w:ascii="Arial" w:hAnsi="Arial" w:cs="Arial"/>
        </w:rPr>
      </w:pPr>
    </w:p>
    <w:p w14:paraId="718E386E" w14:textId="77777777" w:rsidR="00C263A8" w:rsidRDefault="00C263A8">
      <w:pPr>
        <w:rPr>
          <w:rFonts w:ascii="Arial" w:hAnsi="Arial" w:cs="Arial"/>
        </w:rPr>
      </w:pPr>
    </w:p>
    <w:p w14:paraId="7817BEBB" w14:textId="77777777" w:rsidR="00C263A8" w:rsidRDefault="00C263A8">
      <w:pPr>
        <w:rPr>
          <w:rFonts w:ascii="Arial" w:hAnsi="Arial" w:cs="Arial"/>
        </w:rPr>
      </w:pPr>
    </w:p>
    <w:p w14:paraId="41FD05FE" w14:textId="77777777" w:rsidR="00C263A8" w:rsidRDefault="00C263A8">
      <w:pPr>
        <w:rPr>
          <w:rFonts w:ascii="Arial" w:hAnsi="Arial" w:cs="Arial"/>
        </w:rPr>
      </w:pPr>
    </w:p>
    <w:p w14:paraId="22DBB712" w14:textId="77777777" w:rsidR="00C263A8" w:rsidRDefault="00C263A8">
      <w:pPr>
        <w:rPr>
          <w:rFonts w:ascii="Arial" w:hAnsi="Arial" w:cs="Arial"/>
        </w:rPr>
      </w:pPr>
    </w:p>
    <w:p w14:paraId="620AE030" w14:textId="77777777" w:rsidR="00C263A8" w:rsidRDefault="00C263A8">
      <w:pPr>
        <w:rPr>
          <w:rFonts w:ascii="Arial" w:hAnsi="Arial" w:cs="Arial"/>
        </w:rPr>
      </w:pPr>
    </w:p>
    <w:p w14:paraId="5647898C" w14:textId="77777777" w:rsidR="00C263A8" w:rsidRDefault="00C263A8">
      <w:pPr>
        <w:rPr>
          <w:rFonts w:ascii="Arial" w:hAnsi="Arial" w:cs="Arial"/>
        </w:rPr>
      </w:pPr>
    </w:p>
    <w:p w14:paraId="1174A038" w14:textId="77777777" w:rsidR="00C263A8" w:rsidRDefault="00C263A8">
      <w:pPr>
        <w:rPr>
          <w:rFonts w:ascii="Arial" w:hAnsi="Arial" w:cs="Arial"/>
        </w:rPr>
      </w:pPr>
    </w:p>
    <w:p w14:paraId="42334E73" w14:textId="77777777" w:rsidR="00C263A8" w:rsidRDefault="00C263A8">
      <w:pPr>
        <w:rPr>
          <w:rFonts w:ascii="Arial" w:hAnsi="Arial" w:cs="Arial"/>
        </w:rPr>
      </w:pPr>
    </w:p>
    <w:p w14:paraId="45555DE8" w14:textId="77777777" w:rsidR="00C263A8" w:rsidRDefault="00C263A8">
      <w:pPr>
        <w:rPr>
          <w:rFonts w:ascii="Arial" w:hAnsi="Arial" w:cs="Arial"/>
        </w:rPr>
      </w:pPr>
    </w:p>
    <w:p w14:paraId="770055BC" w14:textId="77777777" w:rsidR="00C263A8" w:rsidRDefault="00C263A8">
      <w:pPr>
        <w:rPr>
          <w:rFonts w:ascii="Arial" w:hAnsi="Arial" w:cs="Arial"/>
        </w:rPr>
      </w:pPr>
    </w:p>
    <w:p w14:paraId="62E5FFEF" w14:textId="77777777" w:rsidR="00C263A8" w:rsidRDefault="00C263A8">
      <w:pPr>
        <w:rPr>
          <w:rFonts w:ascii="Arial" w:hAnsi="Arial" w:cs="Arial"/>
        </w:rPr>
      </w:pPr>
    </w:p>
    <w:p w14:paraId="2C9870BB" w14:textId="77777777" w:rsidR="00C263A8" w:rsidRDefault="00C263A8">
      <w:pPr>
        <w:rPr>
          <w:rFonts w:ascii="Arial" w:hAnsi="Arial" w:cs="Arial"/>
        </w:rPr>
      </w:pPr>
    </w:p>
    <w:p w14:paraId="6F2987E7" w14:textId="77777777" w:rsidR="00C263A8" w:rsidRDefault="00C263A8">
      <w:pPr>
        <w:rPr>
          <w:rFonts w:ascii="Arial" w:hAnsi="Arial" w:cs="Arial"/>
        </w:rPr>
      </w:pPr>
    </w:p>
    <w:p w14:paraId="274F9E2F" w14:textId="77777777" w:rsidR="00C263A8" w:rsidRDefault="00C263A8">
      <w:pPr>
        <w:rPr>
          <w:rFonts w:ascii="Arial" w:hAnsi="Arial" w:cs="Arial"/>
        </w:rPr>
      </w:pPr>
    </w:p>
    <w:p w14:paraId="34742EE4" w14:textId="77777777" w:rsidR="00C263A8" w:rsidRDefault="00C263A8">
      <w:pPr>
        <w:rPr>
          <w:rFonts w:ascii="Arial" w:hAnsi="Arial" w:cs="Arial"/>
        </w:rPr>
      </w:pPr>
    </w:p>
    <w:p w14:paraId="6837B50C" w14:textId="77777777" w:rsidR="00C263A8" w:rsidRDefault="00C263A8">
      <w:pPr>
        <w:rPr>
          <w:rFonts w:ascii="Arial" w:hAnsi="Arial" w:cs="Arial"/>
        </w:rPr>
      </w:pPr>
    </w:p>
    <w:p w14:paraId="3C296D7E" w14:textId="77777777" w:rsidR="00C263A8" w:rsidRDefault="00C263A8">
      <w:pPr>
        <w:rPr>
          <w:rFonts w:ascii="Arial" w:hAnsi="Arial" w:cs="Arial"/>
        </w:rPr>
      </w:pPr>
    </w:p>
    <w:p w14:paraId="1C5A5657" w14:textId="77777777" w:rsidR="00C263A8" w:rsidRDefault="00C263A8">
      <w:pPr>
        <w:rPr>
          <w:rFonts w:ascii="Arial" w:hAnsi="Arial" w:cs="Arial"/>
        </w:rPr>
      </w:pPr>
    </w:p>
    <w:p w14:paraId="50AEF9BB" w14:textId="77777777" w:rsidR="00C263A8" w:rsidRDefault="00C263A8">
      <w:pPr>
        <w:rPr>
          <w:rFonts w:ascii="Arial" w:hAnsi="Arial" w:cs="Arial"/>
        </w:rPr>
      </w:pPr>
    </w:p>
    <w:p w14:paraId="63AF68A0" w14:textId="77777777" w:rsidR="00C263A8" w:rsidRDefault="00C263A8">
      <w:pPr>
        <w:rPr>
          <w:rFonts w:ascii="Arial" w:hAnsi="Arial" w:cs="Arial"/>
        </w:rPr>
      </w:pPr>
    </w:p>
    <w:p w14:paraId="5B4DBF54" w14:textId="77777777" w:rsidR="00C263A8" w:rsidRDefault="00C263A8">
      <w:pPr>
        <w:rPr>
          <w:rFonts w:ascii="Arial" w:hAnsi="Arial" w:cs="Arial"/>
        </w:rPr>
      </w:pPr>
    </w:p>
    <w:p w14:paraId="50B1E75C" w14:textId="77777777" w:rsidR="00C263A8" w:rsidRDefault="00C263A8">
      <w:pPr>
        <w:rPr>
          <w:rFonts w:ascii="Arial" w:hAnsi="Arial" w:cs="Arial"/>
        </w:rPr>
      </w:pPr>
    </w:p>
    <w:p w14:paraId="54059933" w14:textId="77777777" w:rsidR="00C263A8" w:rsidRDefault="00C263A8">
      <w:pPr>
        <w:rPr>
          <w:rFonts w:ascii="Arial" w:hAnsi="Arial" w:cs="Arial"/>
        </w:rPr>
      </w:pPr>
    </w:p>
    <w:p w14:paraId="75D31F21" w14:textId="77777777" w:rsidR="00C263A8" w:rsidRDefault="00C263A8">
      <w:pPr>
        <w:rPr>
          <w:rFonts w:ascii="Arial" w:hAnsi="Arial" w:cs="Arial"/>
        </w:rPr>
      </w:pPr>
    </w:p>
    <w:p w14:paraId="3F5E1A84" w14:textId="77777777" w:rsidR="00C263A8" w:rsidRDefault="00C263A8">
      <w:pPr>
        <w:rPr>
          <w:rFonts w:ascii="Arial" w:hAnsi="Arial" w:cs="Arial"/>
        </w:rPr>
      </w:pPr>
    </w:p>
    <w:p w14:paraId="182C1897" w14:textId="77777777" w:rsidR="00C263A8" w:rsidRDefault="00C263A8">
      <w:pPr>
        <w:rPr>
          <w:rFonts w:ascii="Arial" w:hAnsi="Arial" w:cs="Arial"/>
        </w:rPr>
      </w:pPr>
    </w:p>
    <w:p w14:paraId="6EB81C23" w14:textId="77777777" w:rsidR="00C263A8" w:rsidRDefault="00C263A8">
      <w:pPr>
        <w:rPr>
          <w:rFonts w:ascii="Arial" w:hAnsi="Arial" w:cs="Arial"/>
        </w:rPr>
      </w:pPr>
    </w:p>
    <w:p w14:paraId="281C6F44" w14:textId="77777777" w:rsidR="00B46FED" w:rsidRDefault="00B46FED">
      <w:pPr>
        <w:rPr>
          <w:rFonts w:ascii="Arial" w:hAnsi="Arial" w:cs="Arial"/>
        </w:rPr>
      </w:pPr>
    </w:p>
    <w:p w14:paraId="65E5439D" w14:textId="77777777" w:rsidR="00B46FED" w:rsidRDefault="00B46FED">
      <w:pPr>
        <w:rPr>
          <w:rFonts w:ascii="Arial" w:hAnsi="Arial" w:cs="Arial"/>
        </w:rPr>
      </w:pPr>
    </w:p>
    <w:p w14:paraId="275FDBEB" w14:textId="77777777" w:rsidR="00B46FED" w:rsidRDefault="00B46FED">
      <w:pPr>
        <w:rPr>
          <w:rFonts w:ascii="Arial" w:hAnsi="Arial" w:cs="Arial"/>
        </w:rPr>
      </w:pPr>
    </w:p>
    <w:p w14:paraId="23847FD8" w14:textId="77777777" w:rsidR="00C263A8" w:rsidRDefault="00C263A8">
      <w:pPr>
        <w:rPr>
          <w:rFonts w:ascii="Arial" w:hAnsi="Arial" w:cs="Arial"/>
        </w:rPr>
      </w:pPr>
    </w:p>
    <w:p w14:paraId="2D294129" w14:textId="77777777" w:rsidR="00C263A8" w:rsidRDefault="00C263A8">
      <w:pPr>
        <w:rPr>
          <w:rFonts w:ascii="Arial" w:hAnsi="Arial" w:cs="Arial"/>
        </w:rPr>
      </w:pPr>
    </w:p>
    <w:p w14:paraId="22B58482" w14:textId="77777777" w:rsidR="00C263A8" w:rsidRDefault="00C263A8">
      <w:pPr>
        <w:rPr>
          <w:rFonts w:ascii="Arial" w:hAnsi="Arial" w:cs="Arial"/>
        </w:rPr>
      </w:pPr>
    </w:p>
    <w:p w14:paraId="7E656560" w14:textId="77777777" w:rsidR="00C263A8" w:rsidRDefault="00692D54">
      <w:pPr>
        <w:rPr>
          <w:rFonts w:ascii="Arial" w:hAnsi="Arial" w:cs="Arial"/>
          <w:b/>
          <w:bCs/>
          <w:color w:val="FF0000"/>
        </w:rPr>
      </w:pPr>
      <w:r>
        <w:rPr>
          <w:rFonts w:ascii="Arial" w:hAnsi="Arial" w:cs="Arial"/>
          <w:b/>
          <w:bCs/>
          <w:color w:val="FF0000"/>
        </w:rPr>
        <w:lastRenderedPageBreak/>
        <w:t xml:space="preserve">DOCUMENT 3 - Formation en entreprise : comment se dessine le futur du travail ? </w:t>
      </w:r>
    </w:p>
    <w:p w14:paraId="12EF076B" w14:textId="77777777" w:rsidR="00C263A8" w:rsidRDefault="00692D54">
      <w:pPr>
        <w:jc w:val="both"/>
        <w:rPr>
          <w:rFonts w:ascii="Arial" w:hAnsi="Arial" w:cs="Arial"/>
        </w:rPr>
      </w:pPr>
      <w:r>
        <w:rPr>
          <w:rFonts w:ascii="Arial" w:hAnsi="Arial" w:cs="Arial"/>
        </w:rPr>
        <w:t>Dans cette tribune accordée à Laurent Allard, le Président-Directeur-Général de Degoisey, entreprise d’usinage de précision et mécanique, nous expose son point de vue sur les enjeux de formation sans précédent auxquels les sociétés font face.</w:t>
      </w:r>
    </w:p>
    <w:p w14:paraId="76FC4AF1" w14:textId="5453CBBD" w:rsidR="00C263A8" w:rsidRDefault="00692D54">
      <w:pPr>
        <w:jc w:val="both"/>
        <w:rPr>
          <w:rFonts w:ascii="Arial" w:hAnsi="Arial" w:cs="Arial"/>
        </w:rPr>
      </w:pPr>
      <w:r>
        <w:rPr>
          <w:rFonts w:ascii="Arial" w:hAnsi="Arial" w:cs="Arial"/>
        </w:rPr>
        <w:t>Repenser la formation pour répondre aux enjeux du XXIe siècle. Dans un monde du travail en constante évolution, les entreprises sont confrontées à des défis sans précédents en matière de formation. La nature même du travail est en train de se transformer, sous l’influence de la technologie, des changements économiques et des attentes différentes des salariés. Pour rester compétitives et préparer leurs équipes à affronter l’avenir, les entreprises doivent repenser leur approche de la format</w:t>
      </w:r>
      <w:r w:rsidR="002E5E5E">
        <w:rPr>
          <w:rFonts w:ascii="Arial" w:hAnsi="Arial" w:cs="Arial"/>
        </w:rPr>
        <w:t>ion, tant initiale que continue et développer une culture de la formation professionnelle inclua</w:t>
      </w:r>
      <w:r w:rsidR="009C746A">
        <w:rPr>
          <w:rFonts w:ascii="Arial" w:hAnsi="Arial" w:cs="Arial"/>
        </w:rPr>
        <w:t xml:space="preserve">nt l’ensemble des collaborateurs à tous les niveaux hiérarchiques de l’organisation. </w:t>
      </w:r>
    </w:p>
    <w:p w14:paraId="47D3ECCC" w14:textId="77777777" w:rsidR="00C263A8" w:rsidRDefault="00692D54">
      <w:pPr>
        <w:jc w:val="both"/>
        <w:rPr>
          <w:rFonts w:ascii="Arial" w:hAnsi="Arial" w:cs="Arial"/>
          <w:b/>
          <w:bCs/>
        </w:rPr>
      </w:pPr>
      <w:r>
        <w:rPr>
          <w:rFonts w:ascii="Arial" w:hAnsi="Arial" w:cs="Arial"/>
          <w:b/>
          <w:bCs/>
        </w:rPr>
        <w:t>La formation initiale : préparer les nouvelles générations au monde du travail</w:t>
      </w:r>
    </w:p>
    <w:p w14:paraId="283021A8" w14:textId="77777777" w:rsidR="00C263A8" w:rsidRDefault="00692D54">
      <w:pPr>
        <w:jc w:val="both"/>
        <w:rPr>
          <w:rFonts w:ascii="Arial" w:hAnsi="Arial" w:cs="Arial"/>
        </w:rPr>
      </w:pPr>
      <w:r>
        <w:rPr>
          <w:rFonts w:ascii="Arial" w:hAnsi="Arial" w:cs="Arial"/>
        </w:rPr>
        <w:t>La formation initiale revêt une importance cruciale pour préparer les plus jeunes à intégrer le marché du travail. Les entreprises doivent donc s’engager avec un fort impact social et sociétal dans le processus de formation initiale, en collaborant avec les établissements scolaires et les universités pour s’assurer que les programmes d’études reflètent les exigences du monde professionnel. C’est le cas dans notre entreprise, nous sommes en partenariat étroit avec l’IUT de Troyes, principalement avec la section GMP (Génie mécanique et productique) ainsi que les Compagnons du Devoir. Quatre à cinq jeunes sont parmi nous chaque année afin de se former au mieux aux métiers dont a besoin le monde de demain, et cela fonctionne ! Deux à trois jeunes signent un contrat avec l’entreprise à l’issue de leur formation.</w:t>
      </w:r>
    </w:p>
    <w:p w14:paraId="5987F1D0" w14:textId="77777777" w:rsidR="00C263A8" w:rsidRDefault="00692D54">
      <w:pPr>
        <w:jc w:val="both"/>
        <w:rPr>
          <w:rFonts w:ascii="Arial" w:hAnsi="Arial" w:cs="Arial"/>
          <w:b/>
          <w:bCs/>
        </w:rPr>
      </w:pPr>
      <w:r>
        <w:rPr>
          <w:rFonts w:ascii="Arial" w:hAnsi="Arial" w:cs="Arial"/>
          <w:b/>
          <w:bCs/>
        </w:rPr>
        <w:t>La formation continue : investir dans le développement professionnel</w:t>
      </w:r>
    </w:p>
    <w:p w14:paraId="4F5492DA" w14:textId="77777777" w:rsidR="00C263A8" w:rsidRDefault="00692D54">
      <w:pPr>
        <w:jc w:val="both"/>
        <w:rPr>
          <w:rFonts w:ascii="Arial" w:hAnsi="Arial" w:cs="Arial"/>
        </w:rPr>
      </w:pPr>
      <w:r>
        <w:rPr>
          <w:rFonts w:ascii="Arial" w:hAnsi="Arial" w:cs="Arial"/>
        </w:rPr>
        <w:t>La formation continue est essentielle pour permettre aux collaborateurs de rester compétitifs dans un marché du travail en perpétuelle mutation. Les entreprises doivent adopter une approche dynamique en matière de développement professionnel, en offrant des opportunités de formation et de perfectionnement tout au long de la carrière de ses collaborateurs. Ceci passe par des formations spécialisées axées sur les compétences techniques et également par la transmission de savoirs entre collaborateurs, de connaissances et d’expertises, une pratique à inclure dans la culture d’entreprise dont vous souhaitez lancer le mouvement.  </w:t>
      </w:r>
    </w:p>
    <w:p w14:paraId="7A928A50" w14:textId="77777777" w:rsidR="00C263A8" w:rsidRDefault="00692D54">
      <w:pPr>
        <w:jc w:val="both"/>
        <w:rPr>
          <w:rFonts w:ascii="Arial" w:hAnsi="Arial" w:cs="Arial"/>
          <w:b/>
          <w:bCs/>
        </w:rPr>
      </w:pPr>
      <w:r>
        <w:rPr>
          <w:rFonts w:ascii="Arial" w:hAnsi="Arial" w:cs="Arial"/>
          <w:b/>
          <w:bCs/>
        </w:rPr>
        <w:t>Le travail de demain : anticiper les besoins futurs</w:t>
      </w:r>
    </w:p>
    <w:p w14:paraId="62D10616" w14:textId="77777777" w:rsidR="00C263A8" w:rsidRDefault="00692D54">
      <w:pPr>
        <w:jc w:val="both"/>
        <w:rPr>
          <w:rFonts w:ascii="Arial" w:hAnsi="Arial" w:cs="Arial"/>
        </w:rPr>
      </w:pPr>
      <w:r>
        <w:rPr>
          <w:rFonts w:ascii="Arial" w:hAnsi="Arial" w:cs="Arial"/>
        </w:rPr>
        <w:t xml:space="preserve">Pour rester objective dans un monde en constante évolution, la formation ne peut pas se contenter de répondre aux besoins actuels, elle doit permettre également aux sociétés d’anticiper les besoins en compétences et en connaissances qui seront nécessaires à l’avenir de l’entreprise et à sa pérennité. Cela implique de rester à l’affût des tendances technologiques, économiques et sociales qui façonneront le travail de demain. Les compétences en intelligence artificielle, en gestion du changement et en résolution de problèmes complexes deviendront de plus en plus importantes à mesure que les entreprises s’adaptent à un environnement de travail de plus en plus numérique et connecté. </w:t>
      </w:r>
    </w:p>
    <w:p w14:paraId="07E370E8" w14:textId="62E963FF" w:rsidR="00C263A8" w:rsidRDefault="00692D54">
      <w:pPr>
        <w:jc w:val="both"/>
      </w:pPr>
      <w:r>
        <w:rPr>
          <w:rFonts w:ascii="Arial" w:hAnsi="Arial" w:cs="Arial"/>
          <w:b/>
          <w:bCs/>
        </w:rPr>
        <w:t>Source</w:t>
      </w:r>
      <w:r>
        <w:rPr>
          <w:rFonts w:ascii="Arial" w:hAnsi="Arial" w:cs="Arial"/>
        </w:rPr>
        <w:t xml:space="preserve"> : </w:t>
      </w:r>
      <w:hyperlink r:id="rId12" w:history="1">
        <w:r>
          <w:rPr>
            <w:rStyle w:val="Lienhypertexte"/>
            <w:rFonts w:ascii="Arial" w:hAnsi="Arial" w:cs="Arial"/>
          </w:rPr>
          <w:t>https://bigmedia.bpifrance.fr</w:t>
        </w:r>
      </w:hyperlink>
      <w:r>
        <w:rPr>
          <w:rFonts w:ascii="Arial" w:hAnsi="Arial" w:cs="Arial"/>
        </w:rPr>
        <w:t xml:space="preserve"> 17 juin 2024</w:t>
      </w:r>
      <w:r w:rsidR="00D66437">
        <w:rPr>
          <w:rFonts w:ascii="Arial" w:hAnsi="Arial" w:cs="Arial"/>
        </w:rPr>
        <w:t xml:space="preserve"> modifiée par l’auteur </w:t>
      </w:r>
    </w:p>
    <w:p w14:paraId="3B6F31DF" w14:textId="77777777" w:rsidR="00C263A8" w:rsidRDefault="00C263A8">
      <w:pPr>
        <w:jc w:val="both"/>
        <w:rPr>
          <w:rFonts w:ascii="Arial" w:hAnsi="Arial" w:cs="Arial"/>
        </w:rPr>
      </w:pPr>
    </w:p>
    <w:p w14:paraId="33D91DB1" w14:textId="77777777" w:rsidR="00C263A8" w:rsidRDefault="00C263A8">
      <w:pPr>
        <w:rPr>
          <w:rFonts w:ascii="Arial" w:hAnsi="Arial" w:cs="Arial"/>
        </w:rPr>
      </w:pPr>
    </w:p>
    <w:p w14:paraId="2B54D56F" w14:textId="77777777" w:rsidR="00C263A8" w:rsidRDefault="00C263A8">
      <w:pPr>
        <w:rPr>
          <w:rFonts w:ascii="Arial" w:hAnsi="Arial" w:cs="Arial"/>
        </w:rPr>
      </w:pPr>
    </w:p>
    <w:p w14:paraId="708CDDC3" w14:textId="77777777" w:rsidR="00C263A8" w:rsidRDefault="00C263A8">
      <w:pPr>
        <w:rPr>
          <w:rFonts w:ascii="Arial" w:hAnsi="Arial" w:cs="Arial"/>
        </w:rPr>
      </w:pPr>
    </w:p>
    <w:sectPr w:rsidR="00C263A8">
      <w:pgSz w:w="11906" w:h="16838"/>
      <w:pgMar w:top="567"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62D01" w14:textId="77777777" w:rsidR="008F11CB" w:rsidRDefault="008F11CB">
      <w:pPr>
        <w:spacing w:after="0" w:line="240" w:lineRule="auto"/>
      </w:pPr>
      <w:r>
        <w:separator/>
      </w:r>
    </w:p>
  </w:endnote>
  <w:endnote w:type="continuationSeparator" w:id="0">
    <w:p w14:paraId="66678E03" w14:textId="77777777" w:rsidR="008F11CB" w:rsidRDefault="008F1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A80E1" w14:textId="77777777" w:rsidR="008F11CB" w:rsidRDefault="008F11CB">
      <w:pPr>
        <w:spacing w:after="0" w:line="240" w:lineRule="auto"/>
      </w:pPr>
      <w:r>
        <w:rPr>
          <w:color w:val="000000"/>
        </w:rPr>
        <w:separator/>
      </w:r>
    </w:p>
  </w:footnote>
  <w:footnote w:type="continuationSeparator" w:id="0">
    <w:p w14:paraId="3F263094" w14:textId="77777777" w:rsidR="008F11CB" w:rsidRDefault="008F1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14A98"/>
    <w:multiLevelType w:val="multilevel"/>
    <w:tmpl w:val="DBF86CC2"/>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D74A26"/>
    <w:multiLevelType w:val="hybridMultilevel"/>
    <w:tmpl w:val="9DE4A0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250BB6"/>
    <w:multiLevelType w:val="hybridMultilevel"/>
    <w:tmpl w:val="CCEE53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ED1B9B"/>
    <w:multiLevelType w:val="hybridMultilevel"/>
    <w:tmpl w:val="8B629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0702D1"/>
    <w:multiLevelType w:val="multilevel"/>
    <w:tmpl w:val="5AF28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0F6057"/>
    <w:multiLevelType w:val="hybridMultilevel"/>
    <w:tmpl w:val="7E0AC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8C3B37"/>
    <w:multiLevelType w:val="multilevel"/>
    <w:tmpl w:val="E356E6B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0535142"/>
    <w:multiLevelType w:val="multilevel"/>
    <w:tmpl w:val="5AF28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52239D4"/>
    <w:multiLevelType w:val="multilevel"/>
    <w:tmpl w:val="71A06C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1856E2A"/>
    <w:multiLevelType w:val="hybridMultilevel"/>
    <w:tmpl w:val="30220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A21D84"/>
    <w:multiLevelType w:val="multilevel"/>
    <w:tmpl w:val="071894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8062A7"/>
    <w:multiLevelType w:val="multilevel"/>
    <w:tmpl w:val="F1584BF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26D01C8"/>
    <w:multiLevelType w:val="hybridMultilevel"/>
    <w:tmpl w:val="11F2E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4114BF"/>
    <w:multiLevelType w:val="multilevel"/>
    <w:tmpl w:val="3ABA514C"/>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64F0A5B"/>
    <w:multiLevelType w:val="multilevel"/>
    <w:tmpl w:val="016CEB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D0E571A"/>
    <w:multiLevelType w:val="hybridMultilevel"/>
    <w:tmpl w:val="1C3C6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06181074">
    <w:abstractNumId w:val="8"/>
  </w:num>
  <w:num w:numId="2" w16cid:durableId="622926367">
    <w:abstractNumId w:val="4"/>
  </w:num>
  <w:num w:numId="3" w16cid:durableId="1678535638">
    <w:abstractNumId w:val="14"/>
  </w:num>
  <w:num w:numId="4" w16cid:durableId="1448574214">
    <w:abstractNumId w:val="13"/>
  </w:num>
  <w:num w:numId="5" w16cid:durableId="1416391617">
    <w:abstractNumId w:val="0"/>
  </w:num>
  <w:num w:numId="6" w16cid:durableId="1611203845">
    <w:abstractNumId w:val="15"/>
  </w:num>
  <w:num w:numId="7" w16cid:durableId="2041927412">
    <w:abstractNumId w:val="5"/>
  </w:num>
  <w:num w:numId="8" w16cid:durableId="1118528853">
    <w:abstractNumId w:val="9"/>
  </w:num>
  <w:num w:numId="9" w16cid:durableId="1587373181">
    <w:abstractNumId w:val="3"/>
  </w:num>
  <w:num w:numId="10" w16cid:durableId="677846751">
    <w:abstractNumId w:val="7"/>
  </w:num>
  <w:num w:numId="11" w16cid:durableId="1904368846">
    <w:abstractNumId w:val="1"/>
  </w:num>
  <w:num w:numId="12" w16cid:durableId="1340155516">
    <w:abstractNumId w:val="2"/>
  </w:num>
  <w:num w:numId="13" w16cid:durableId="75708215">
    <w:abstractNumId w:val="12"/>
  </w:num>
  <w:num w:numId="14" w16cid:durableId="1612778164">
    <w:abstractNumId w:val="6"/>
  </w:num>
  <w:num w:numId="15" w16cid:durableId="252321177">
    <w:abstractNumId w:val="10"/>
  </w:num>
  <w:num w:numId="16" w16cid:durableId="17743243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fr-FR" w:vendorID="64" w:dllVersion="4096"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3A8"/>
    <w:rsid w:val="00037670"/>
    <w:rsid w:val="000D3332"/>
    <w:rsid w:val="00214592"/>
    <w:rsid w:val="0021709A"/>
    <w:rsid w:val="002B1FA8"/>
    <w:rsid w:val="002E5E5E"/>
    <w:rsid w:val="00347415"/>
    <w:rsid w:val="00427211"/>
    <w:rsid w:val="0044648F"/>
    <w:rsid w:val="005A1C86"/>
    <w:rsid w:val="00692D54"/>
    <w:rsid w:val="00770842"/>
    <w:rsid w:val="008413C5"/>
    <w:rsid w:val="008757E4"/>
    <w:rsid w:val="008F11CB"/>
    <w:rsid w:val="009144F5"/>
    <w:rsid w:val="00926E34"/>
    <w:rsid w:val="009C746A"/>
    <w:rsid w:val="00B46FED"/>
    <w:rsid w:val="00B72367"/>
    <w:rsid w:val="00C263A8"/>
    <w:rsid w:val="00CC0C5F"/>
    <w:rsid w:val="00CC2C22"/>
    <w:rsid w:val="00D332E8"/>
    <w:rsid w:val="00D66437"/>
    <w:rsid w:val="00DA753A"/>
    <w:rsid w:val="00E949AC"/>
    <w:rsid w:val="00EB1BC3"/>
    <w:rsid w:val="00F66DEA"/>
    <w:rsid w:val="00FA7A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DF5B"/>
  <w15:docId w15:val="{D0C5596A-C3B2-47AF-8073-150DC126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fr-FR"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Normal"/>
    <w:next w:val="Normal"/>
    <w:pPr>
      <w:keepNext/>
      <w:keepLines/>
      <w:spacing w:before="360" w:after="80"/>
      <w:outlineLvl w:val="0"/>
    </w:pPr>
    <w:rPr>
      <w:rFonts w:ascii="Calibri Light" w:eastAsia="Times New Roman" w:hAnsi="Calibri Light"/>
      <w:color w:val="2F5496"/>
      <w:sz w:val="40"/>
      <w:szCs w:val="40"/>
    </w:rPr>
  </w:style>
  <w:style w:type="paragraph" w:styleId="Titre2">
    <w:name w:val="heading 2"/>
    <w:basedOn w:val="Normal"/>
    <w:next w:val="Normal"/>
    <w:pPr>
      <w:keepNext/>
      <w:keepLines/>
      <w:spacing w:before="160" w:after="80"/>
      <w:outlineLvl w:val="1"/>
    </w:pPr>
    <w:rPr>
      <w:rFonts w:ascii="Calibri Light" w:eastAsia="Times New Roman" w:hAnsi="Calibri Light"/>
      <w:color w:val="2F5496"/>
      <w:sz w:val="32"/>
      <w:szCs w:val="32"/>
    </w:rPr>
  </w:style>
  <w:style w:type="paragraph" w:styleId="Titre3">
    <w:name w:val="heading 3"/>
    <w:basedOn w:val="Normal"/>
    <w:next w:val="Normal"/>
    <w:pPr>
      <w:keepNext/>
      <w:keepLines/>
      <w:spacing w:before="160" w:after="80"/>
      <w:outlineLvl w:val="2"/>
    </w:pPr>
    <w:rPr>
      <w:rFonts w:eastAsia="Times New Roman"/>
      <w:color w:val="2F5496"/>
      <w:sz w:val="28"/>
      <w:szCs w:val="28"/>
    </w:rPr>
  </w:style>
  <w:style w:type="paragraph" w:styleId="Titre4">
    <w:name w:val="heading 4"/>
    <w:basedOn w:val="Normal"/>
    <w:next w:val="Normal"/>
    <w:pPr>
      <w:keepNext/>
      <w:keepLines/>
      <w:spacing w:before="80" w:after="40"/>
      <w:outlineLvl w:val="3"/>
    </w:pPr>
    <w:rPr>
      <w:rFonts w:eastAsia="Times New Roman"/>
      <w:i/>
      <w:iCs/>
      <w:color w:val="2F5496"/>
    </w:rPr>
  </w:style>
  <w:style w:type="paragraph" w:styleId="Titre5">
    <w:name w:val="heading 5"/>
    <w:basedOn w:val="Normal"/>
    <w:next w:val="Normal"/>
    <w:pPr>
      <w:keepNext/>
      <w:keepLines/>
      <w:spacing w:before="80" w:after="40"/>
      <w:outlineLvl w:val="4"/>
    </w:pPr>
    <w:rPr>
      <w:rFonts w:eastAsia="Times New Roman"/>
      <w:color w:val="2F5496"/>
    </w:rPr>
  </w:style>
  <w:style w:type="paragraph" w:styleId="Titre6">
    <w:name w:val="heading 6"/>
    <w:basedOn w:val="Normal"/>
    <w:next w:val="Normal"/>
    <w:pPr>
      <w:keepNext/>
      <w:keepLines/>
      <w:spacing w:before="40" w:after="0"/>
      <w:outlineLvl w:val="5"/>
    </w:pPr>
    <w:rPr>
      <w:rFonts w:eastAsia="Times New Roman"/>
      <w:i/>
      <w:iCs/>
      <w:color w:val="595959"/>
    </w:rPr>
  </w:style>
  <w:style w:type="paragraph" w:styleId="Titre7">
    <w:name w:val="heading 7"/>
    <w:basedOn w:val="Normal"/>
    <w:next w:val="Normal"/>
    <w:pPr>
      <w:keepNext/>
      <w:keepLines/>
      <w:spacing w:before="40" w:after="0"/>
      <w:outlineLvl w:val="6"/>
    </w:pPr>
    <w:rPr>
      <w:rFonts w:eastAsia="Times New Roman"/>
      <w:color w:val="595959"/>
    </w:rPr>
  </w:style>
  <w:style w:type="paragraph" w:styleId="Titre8">
    <w:name w:val="heading 8"/>
    <w:basedOn w:val="Normal"/>
    <w:next w:val="Normal"/>
    <w:pPr>
      <w:keepNext/>
      <w:keepLines/>
      <w:spacing w:after="0"/>
      <w:outlineLvl w:val="7"/>
    </w:pPr>
    <w:rPr>
      <w:rFonts w:eastAsia="Times New Roman"/>
      <w:i/>
      <w:iCs/>
      <w:color w:val="272727"/>
    </w:rPr>
  </w:style>
  <w:style w:type="paragraph" w:styleId="Titre9">
    <w:name w:val="heading 9"/>
    <w:basedOn w:val="Normal"/>
    <w:next w:val="Normal"/>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Calibri Light" w:eastAsia="Times New Roman" w:hAnsi="Calibri Light" w:cs="Times New Roman"/>
      <w:color w:val="2F5496"/>
      <w:sz w:val="40"/>
      <w:szCs w:val="40"/>
    </w:rPr>
  </w:style>
  <w:style w:type="character" w:customStyle="1" w:styleId="Titre2Car">
    <w:name w:val="Titre 2 Car"/>
    <w:basedOn w:val="Policepardfaut"/>
    <w:rPr>
      <w:rFonts w:ascii="Calibri Light" w:eastAsia="Times New Roman" w:hAnsi="Calibri Light" w:cs="Times New Roman"/>
      <w:color w:val="2F5496"/>
      <w:sz w:val="32"/>
      <w:szCs w:val="32"/>
    </w:rPr>
  </w:style>
  <w:style w:type="character" w:customStyle="1" w:styleId="Titre3Car">
    <w:name w:val="Titre 3 Car"/>
    <w:basedOn w:val="Policepardfaut"/>
    <w:rPr>
      <w:rFonts w:eastAsia="Times New Roman" w:cs="Times New Roman"/>
      <w:color w:val="2F5496"/>
      <w:sz w:val="28"/>
      <w:szCs w:val="28"/>
    </w:rPr>
  </w:style>
  <w:style w:type="character" w:customStyle="1" w:styleId="Titre4Car">
    <w:name w:val="Titre 4 Car"/>
    <w:basedOn w:val="Policepardfaut"/>
    <w:rPr>
      <w:rFonts w:eastAsia="Times New Roman" w:cs="Times New Roman"/>
      <w:i/>
      <w:iCs/>
      <w:color w:val="2F5496"/>
    </w:rPr>
  </w:style>
  <w:style w:type="character" w:customStyle="1" w:styleId="Titre5Car">
    <w:name w:val="Titre 5 Car"/>
    <w:basedOn w:val="Policepardfaut"/>
    <w:rPr>
      <w:rFonts w:eastAsia="Times New Roman" w:cs="Times New Roman"/>
      <w:color w:val="2F5496"/>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pPr>
      <w:spacing w:after="80" w:line="240" w:lineRule="auto"/>
    </w:pPr>
    <w:rPr>
      <w:rFonts w:ascii="Calibri Light" w:eastAsia="Times New Roman" w:hAnsi="Calibri Light"/>
      <w:spacing w:val="-10"/>
      <w:sz w:val="56"/>
      <w:szCs w:val="56"/>
    </w:rPr>
  </w:style>
  <w:style w:type="character" w:customStyle="1" w:styleId="TitreCar">
    <w:name w:val="Titre Car"/>
    <w:basedOn w:val="Policepardfaut"/>
    <w:rPr>
      <w:rFonts w:ascii="Calibri Light" w:eastAsia="Times New Roman" w:hAnsi="Calibri Light" w:cs="Times New Roman"/>
      <w:spacing w:val="-10"/>
      <w:kern w:val="3"/>
      <w:sz w:val="56"/>
      <w:szCs w:val="56"/>
    </w:rPr>
  </w:style>
  <w:style w:type="paragraph" w:styleId="Sous-titre">
    <w:name w:val="Subtitle"/>
    <w:basedOn w:val="Normal"/>
    <w:next w:val="Normal"/>
    <w:rPr>
      <w:rFonts w:eastAsia="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pPr>
  </w:style>
  <w:style w:type="character" w:customStyle="1" w:styleId="Accentuationintense1">
    <w:name w:val="Accentuation intense1"/>
    <w:basedOn w:val="Policepardfaut"/>
    <w:rPr>
      <w:i/>
      <w:iCs/>
      <w:color w:val="2F5496"/>
    </w:rPr>
  </w:style>
  <w:style w:type="paragraph" w:styleId="Citationintense">
    <w:name w:val="Intense Quote"/>
    <w:basedOn w:val="Normal"/>
    <w:next w:val="Normal"/>
    <w:pPr>
      <w:pBdr>
        <w:top w:val="single" w:sz="4" w:space="10" w:color="2F5496"/>
        <w:bottom w:val="single" w:sz="4" w:space="10" w:color="2F5496"/>
      </w:pBdr>
      <w:spacing w:before="360" w:after="360"/>
      <w:ind w:left="864" w:right="864"/>
      <w:jc w:val="center"/>
    </w:pPr>
    <w:rPr>
      <w:i/>
      <w:iCs/>
      <w:color w:val="2F5496"/>
    </w:rPr>
  </w:style>
  <w:style w:type="character" w:customStyle="1" w:styleId="CitationintenseCar">
    <w:name w:val="Citation intense Car"/>
    <w:basedOn w:val="Policepardfaut"/>
    <w:rPr>
      <w:i/>
      <w:iCs/>
      <w:color w:val="2F5496"/>
    </w:rPr>
  </w:style>
  <w:style w:type="character" w:styleId="Rfrenceintense">
    <w:name w:val="Intense Reference"/>
    <w:basedOn w:val="Policepardfaut"/>
    <w:rPr>
      <w:b/>
      <w:bCs/>
      <w:smallCaps/>
      <w:color w:val="2F5496"/>
      <w:spacing w:val="5"/>
    </w:rPr>
  </w:style>
  <w:style w:type="character" w:styleId="Lienhypertexte">
    <w:name w:val="Hyperlink"/>
    <w:basedOn w:val="Policepardfaut"/>
    <w:rPr>
      <w:color w:val="0563C1"/>
      <w:u w:val="single"/>
    </w:rPr>
  </w:style>
  <w:style w:type="character" w:customStyle="1" w:styleId="Mentionnonrsolue1">
    <w:name w:val="Mention non résolue1"/>
    <w:basedOn w:val="Policepardfaut"/>
    <w:rPr>
      <w:color w:val="605E5C"/>
      <w:shd w:val="clear" w:color="auto" w:fill="E1DFDD"/>
    </w:rPr>
  </w:style>
  <w:style w:type="paragraph" w:styleId="Lgende">
    <w:name w:val="caption"/>
    <w:basedOn w:val="Normal"/>
    <w:next w:val="Normal"/>
    <w:pPr>
      <w:spacing w:after="200" w:line="240" w:lineRule="auto"/>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gmedia.bpifranc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www.capital.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CA30A-1132-440F-B23E-98A53033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1673</Words>
  <Characters>9205</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SENABRE</dc:creator>
  <dc:description/>
  <cp:lastModifiedBy>JEREMY</cp:lastModifiedBy>
  <cp:revision>3</cp:revision>
  <dcterms:created xsi:type="dcterms:W3CDTF">2025-03-19T07:11:00Z</dcterms:created>
  <dcterms:modified xsi:type="dcterms:W3CDTF">2025-03-19T07:12:00Z</dcterms:modified>
</cp:coreProperties>
</file>