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94" w:type="dxa"/>
        <w:tblCellMar>
          <w:left w:w="10" w:type="dxa"/>
          <w:right w:w="10" w:type="dxa"/>
        </w:tblCellMar>
        <w:tblLook w:val="0000" w:firstRow="0" w:lastRow="0" w:firstColumn="0" w:lastColumn="0" w:noHBand="0" w:noVBand="0"/>
      </w:tblPr>
      <w:tblGrid>
        <w:gridCol w:w="4530"/>
        <w:gridCol w:w="4764"/>
      </w:tblGrid>
      <w:tr w:rsidR="007046F2" w14:paraId="3D7C9265" w14:textId="77777777">
        <w:tc>
          <w:tcPr>
            <w:tcW w:w="4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389DD1C" w14:textId="77777777" w:rsidR="007046F2" w:rsidRDefault="000023A6">
            <w:pPr>
              <w:pStyle w:val="NormalWeb"/>
              <w:spacing w:after="0"/>
              <w:jc w:val="center"/>
              <w:textAlignment w:val="auto"/>
            </w:pPr>
            <w:r>
              <w:rPr>
                <w:rStyle w:val="lev"/>
                <w:rFonts w:ascii="Arial" w:hAnsi="Arial" w:cs="Arial"/>
                <w:color w:val="006666"/>
              </w:rPr>
              <w:t>Seconde baccalauréat professionnel</w:t>
            </w:r>
          </w:p>
          <w:p w14:paraId="1AF44940" w14:textId="77777777" w:rsidR="007046F2" w:rsidRDefault="000023A6">
            <w:pPr>
              <w:pStyle w:val="NormalWeb"/>
              <w:spacing w:after="0"/>
              <w:jc w:val="center"/>
              <w:textAlignment w:val="auto"/>
            </w:pPr>
            <w:r>
              <w:rPr>
                <w:rStyle w:val="lev"/>
                <w:rFonts w:ascii="Arial" w:hAnsi="Arial" w:cs="Arial"/>
                <w:color w:val="006666"/>
              </w:rPr>
              <w:t>GATL</w:t>
            </w:r>
          </w:p>
        </w:tc>
        <w:tc>
          <w:tcPr>
            <w:tcW w:w="47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8AADA11" w14:textId="77777777" w:rsidR="007046F2" w:rsidRDefault="000023A6">
            <w:pPr>
              <w:pStyle w:val="NormalWeb"/>
              <w:spacing w:after="0"/>
              <w:jc w:val="center"/>
              <w:textAlignment w:val="auto"/>
            </w:pPr>
            <w:r>
              <w:rPr>
                <w:rStyle w:val="lev"/>
                <w:rFonts w:ascii="Arial" w:hAnsi="Arial" w:cs="Arial"/>
                <w:color w:val="006666"/>
              </w:rPr>
              <w:t>Point économique et juridique 6</w:t>
            </w:r>
          </w:p>
        </w:tc>
      </w:tr>
      <w:tr w:rsidR="007046F2" w14:paraId="659CAD07" w14:textId="77777777">
        <w:trPr>
          <w:trHeight w:val="955"/>
        </w:trPr>
        <w:tc>
          <w:tcPr>
            <w:tcW w:w="92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0CD2" w14:textId="77777777" w:rsidR="007046F2" w:rsidRPr="007843D7" w:rsidRDefault="000023A6">
            <w:pPr>
              <w:pStyle w:val="NormalWeb"/>
              <w:spacing w:after="0"/>
              <w:jc w:val="both"/>
              <w:textAlignment w:val="auto"/>
              <w:rPr>
                <w:sz w:val="22"/>
                <w:szCs w:val="22"/>
              </w:rPr>
            </w:pPr>
            <w:r w:rsidRPr="007843D7">
              <w:rPr>
                <w:rStyle w:val="lev"/>
                <w:rFonts w:ascii="Arial" w:hAnsi="Arial" w:cs="Arial"/>
                <w:sz w:val="22"/>
                <w:szCs w:val="22"/>
              </w:rPr>
              <w:t>Question : Comment protéger le consommateur dans son acte d’achat ?</w:t>
            </w:r>
          </w:p>
          <w:p w14:paraId="493DD637" w14:textId="77777777" w:rsidR="007046F2" w:rsidRPr="007843D7" w:rsidRDefault="000023A6">
            <w:pPr>
              <w:pStyle w:val="NormalWeb"/>
              <w:numPr>
                <w:ilvl w:val="0"/>
                <w:numId w:val="1"/>
              </w:numPr>
              <w:spacing w:after="0"/>
              <w:jc w:val="both"/>
              <w:textAlignment w:val="auto"/>
              <w:rPr>
                <w:rFonts w:ascii="Arial" w:hAnsi="Arial" w:cs="Arial"/>
                <w:sz w:val="22"/>
                <w:szCs w:val="22"/>
              </w:rPr>
            </w:pPr>
            <w:r w:rsidRPr="007843D7">
              <w:rPr>
                <w:rFonts w:ascii="Arial" w:hAnsi="Arial" w:cs="Arial"/>
                <w:sz w:val="22"/>
                <w:szCs w:val="22"/>
              </w:rPr>
              <w:t>Repérer les droits et les obligations du vendeur et du consommateur</w:t>
            </w:r>
          </w:p>
          <w:p w14:paraId="644FD49E" w14:textId="77777777" w:rsidR="007046F2" w:rsidRDefault="000023A6">
            <w:pPr>
              <w:pStyle w:val="NormalWeb"/>
              <w:numPr>
                <w:ilvl w:val="0"/>
                <w:numId w:val="1"/>
              </w:numPr>
              <w:spacing w:after="0"/>
              <w:jc w:val="both"/>
              <w:textAlignment w:val="auto"/>
            </w:pPr>
            <w:r w:rsidRPr="007843D7">
              <w:rPr>
                <w:rFonts w:ascii="Arial" w:hAnsi="Arial" w:cs="Arial"/>
                <w:sz w:val="22"/>
                <w:szCs w:val="22"/>
              </w:rPr>
              <w:t>Présenter les enjeux de la protection des données personnelles</w:t>
            </w:r>
          </w:p>
        </w:tc>
      </w:tr>
    </w:tbl>
    <w:p w14:paraId="46A6DA82" w14:textId="77777777" w:rsidR="007046F2" w:rsidRDefault="007046F2">
      <w:pPr>
        <w:spacing w:after="0"/>
        <w:jc w:val="center"/>
        <w:rPr>
          <w:rFonts w:ascii="Arial" w:hAnsi="Arial" w:cs="Arial"/>
          <w:b/>
          <w:bCs/>
          <w:color w:val="006666"/>
          <w:sz w:val="24"/>
          <w:szCs w:val="24"/>
        </w:rPr>
      </w:pPr>
    </w:p>
    <w:p w14:paraId="0A197576" w14:textId="77777777" w:rsidR="007046F2" w:rsidRDefault="000023A6">
      <w:pPr>
        <w:spacing w:after="0"/>
        <w:jc w:val="center"/>
        <w:rPr>
          <w:rFonts w:ascii="Arial" w:hAnsi="Arial" w:cs="Arial"/>
          <w:b/>
          <w:bCs/>
          <w:color w:val="006666"/>
          <w:sz w:val="24"/>
          <w:szCs w:val="24"/>
        </w:rPr>
      </w:pPr>
      <w:r>
        <w:rPr>
          <w:rFonts w:ascii="Arial" w:hAnsi="Arial" w:cs="Arial"/>
          <w:b/>
          <w:bCs/>
          <w:color w:val="006666"/>
          <w:sz w:val="24"/>
          <w:szCs w:val="24"/>
        </w:rPr>
        <w:t xml:space="preserve">Contexte professionnel </w:t>
      </w:r>
    </w:p>
    <w:p w14:paraId="0DBBE73E" w14:textId="77777777" w:rsidR="007046F2" w:rsidRDefault="007046F2">
      <w:pPr>
        <w:spacing w:after="0"/>
        <w:jc w:val="center"/>
        <w:rPr>
          <w:rFonts w:ascii="Arial" w:hAnsi="Arial" w:cs="Arial"/>
          <w:b/>
          <w:bCs/>
          <w:color w:val="006666"/>
          <w:sz w:val="24"/>
          <w:szCs w:val="24"/>
        </w:rPr>
      </w:pPr>
    </w:p>
    <w:p w14:paraId="7CA2F1EA" w14:textId="77777777" w:rsidR="007046F2" w:rsidRDefault="000023A6">
      <w:pPr>
        <w:spacing w:after="0"/>
        <w:jc w:val="both"/>
      </w:pPr>
      <w:r>
        <w:rPr>
          <w:noProof/>
          <w:lang w:eastAsia="fr-FR"/>
        </w:rPr>
        <w:drawing>
          <wp:anchor distT="0" distB="0" distL="114300" distR="114300" simplePos="0" relativeHeight="251662336" behindDoc="0" locked="0" layoutInCell="1" allowOverlap="1" wp14:anchorId="6455FA5D" wp14:editId="5172AC7B">
            <wp:simplePos x="0" y="0"/>
            <wp:positionH relativeFrom="column">
              <wp:posOffset>4738100</wp:posOffset>
            </wp:positionH>
            <wp:positionV relativeFrom="paragraph">
              <wp:posOffset>3995</wp:posOffset>
            </wp:positionV>
            <wp:extent cx="1162046" cy="1300477"/>
            <wp:effectExtent l="0" t="0" r="4" b="0"/>
            <wp:wrapSquare wrapText="bothSides"/>
            <wp:docPr id="1" name="Image 1" descr="Un litige de consommation ? Trouvez l'association locale la plus proche de  chez vous - UFC-Que Choisi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162046" cy="1300477"/>
                    </a:xfrm>
                    <a:prstGeom prst="rect">
                      <a:avLst/>
                    </a:prstGeom>
                    <a:noFill/>
                    <a:ln>
                      <a:noFill/>
                      <a:prstDash/>
                    </a:ln>
                  </pic:spPr>
                </pic:pic>
              </a:graphicData>
            </a:graphic>
          </wp:anchor>
        </w:drawing>
      </w:r>
      <w:r>
        <w:rPr>
          <w:rFonts w:ascii="Arial" w:hAnsi="Arial" w:cs="Arial"/>
        </w:rPr>
        <w:t xml:space="preserve">L’association locale </w:t>
      </w:r>
      <w:r>
        <w:rPr>
          <w:rFonts w:ascii="Arial" w:hAnsi="Arial" w:cs="Arial"/>
          <w:b/>
          <w:bCs/>
        </w:rPr>
        <w:t>UFC Que Choisir de Pau</w:t>
      </w:r>
      <w:r>
        <w:rPr>
          <w:rFonts w:ascii="Arial" w:hAnsi="Arial" w:cs="Arial"/>
        </w:rPr>
        <w:t xml:space="preserve"> est une association à but non lucratif obéissant aux principes de la loi de 1901. Il existe 150 associations locales comme celle de Pau, réparties sur tout le territoire national. Elles forment une Fédération dont le siège est à Paris. Les associations locales UFC Que Choisir sont animées par des bénévoles. </w:t>
      </w:r>
    </w:p>
    <w:p w14:paraId="12278749" w14:textId="77777777" w:rsidR="007046F2" w:rsidRDefault="007046F2">
      <w:pPr>
        <w:spacing w:after="0"/>
        <w:jc w:val="both"/>
        <w:rPr>
          <w:rFonts w:ascii="Arial" w:hAnsi="Arial" w:cs="Arial"/>
        </w:rPr>
      </w:pPr>
    </w:p>
    <w:p w14:paraId="117DB6F1" w14:textId="77777777" w:rsidR="007046F2" w:rsidRDefault="000023A6">
      <w:pPr>
        <w:spacing w:after="0"/>
        <w:jc w:val="both"/>
        <w:rPr>
          <w:rFonts w:ascii="Arial" w:hAnsi="Arial" w:cs="Arial"/>
        </w:rPr>
      </w:pPr>
      <w:r>
        <w:rPr>
          <w:rFonts w:ascii="Arial" w:hAnsi="Arial" w:cs="Arial"/>
        </w:rPr>
        <w:t xml:space="preserve">L’association a pour activités : </w:t>
      </w:r>
    </w:p>
    <w:p w14:paraId="1EDFF09A" w14:textId="77777777" w:rsidR="007046F2" w:rsidRDefault="007046F2">
      <w:pPr>
        <w:spacing w:after="0"/>
        <w:jc w:val="both"/>
        <w:rPr>
          <w:rFonts w:ascii="Arial" w:hAnsi="Arial" w:cs="Arial"/>
        </w:rPr>
      </w:pPr>
    </w:p>
    <w:p w14:paraId="101E0E81" w14:textId="0D675155" w:rsidR="007046F2" w:rsidRDefault="000023A6">
      <w:pPr>
        <w:numPr>
          <w:ilvl w:val="0"/>
          <w:numId w:val="2"/>
        </w:numPr>
        <w:spacing w:after="0"/>
        <w:jc w:val="both"/>
      </w:pPr>
      <w:r>
        <w:rPr>
          <w:rFonts w:ascii="Arial" w:hAnsi="Arial" w:cs="Arial"/>
          <w:b/>
          <w:bCs/>
        </w:rPr>
        <w:t>La gestion des litiges</w:t>
      </w:r>
      <w:r>
        <w:rPr>
          <w:rFonts w:ascii="Arial" w:hAnsi="Arial" w:cs="Arial"/>
        </w:rPr>
        <w:t xml:space="preserve"> : </w:t>
      </w:r>
      <w:r w:rsidR="007843D7">
        <w:rPr>
          <w:rFonts w:ascii="Arial" w:hAnsi="Arial" w:cs="Arial"/>
        </w:rPr>
        <w:t>elle reçoit</w:t>
      </w:r>
      <w:r>
        <w:rPr>
          <w:rFonts w:ascii="Arial" w:hAnsi="Arial" w:cs="Arial"/>
        </w:rPr>
        <w:t xml:space="preserve"> les consommateurs individuels de Pau et de sa région, pour résoudre, avec eux, les différends qu’ils peuvent avoir avec des professionnels et qui sont du ressort du droit de la consommation ;</w:t>
      </w:r>
    </w:p>
    <w:p w14:paraId="7F51F2FE" w14:textId="0A97EC8E" w:rsidR="007046F2" w:rsidRDefault="000023A6">
      <w:pPr>
        <w:numPr>
          <w:ilvl w:val="0"/>
          <w:numId w:val="2"/>
        </w:numPr>
        <w:spacing w:after="0"/>
        <w:jc w:val="both"/>
      </w:pPr>
      <w:r>
        <w:rPr>
          <w:rFonts w:ascii="Arial" w:hAnsi="Arial" w:cs="Arial"/>
          <w:b/>
          <w:bCs/>
        </w:rPr>
        <w:t>Les enquêtes</w:t>
      </w:r>
      <w:r>
        <w:rPr>
          <w:rFonts w:ascii="Arial" w:hAnsi="Arial" w:cs="Arial"/>
        </w:rPr>
        <w:t xml:space="preserve"> : </w:t>
      </w:r>
      <w:r w:rsidR="007843D7">
        <w:rPr>
          <w:rFonts w:ascii="Arial" w:hAnsi="Arial" w:cs="Arial"/>
        </w:rPr>
        <w:t>elle se rend</w:t>
      </w:r>
      <w:r>
        <w:rPr>
          <w:rFonts w:ascii="Arial" w:hAnsi="Arial" w:cs="Arial"/>
        </w:rPr>
        <w:t>, anonymement, chez les professionnels pour enquêter sur leurs pratiques et leurs prix. Les relevés locaux sont collectés et analysés par notre Fédération qui en rend compte ensuite dans les médias nationaux et dans la revue Que Choisir. Ils font aussi l’objet d’une communication locale ;</w:t>
      </w:r>
    </w:p>
    <w:p w14:paraId="145DBF78" w14:textId="1BF97090" w:rsidR="007046F2" w:rsidRDefault="000023A6">
      <w:pPr>
        <w:numPr>
          <w:ilvl w:val="0"/>
          <w:numId w:val="2"/>
        </w:numPr>
        <w:spacing w:after="0"/>
        <w:jc w:val="both"/>
      </w:pPr>
      <w:r>
        <w:rPr>
          <w:rFonts w:ascii="Arial" w:hAnsi="Arial" w:cs="Arial"/>
          <w:b/>
          <w:bCs/>
        </w:rPr>
        <w:t>Les représentations</w:t>
      </w:r>
      <w:r>
        <w:rPr>
          <w:rFonts w:ascii="Arial" w:hAnsi="Arial" w:cs="Arial"/>
        </w:rPr>
        <w:t xml:space="preserve"> : </w:t>
      </w:r>
      <w:r w:rsidR="007843D7">
        <w:rPr>
          <w:rFonts w:ascii="Arial" w:hAnsi="Arial" w:cs="Arial"/>
        </w:rPr>
        <w:t>elle</w:t>
      </w:r>
      <w:r>
        <w:rPr>
          <w:rFonts w:ascii="Arial" w:hAnsi="Arial" w:cs="Arial"/>
        </w:rPr>
        <w:t xml:space="preserve"> </w:t>
      </w:r>
      <w:r w:rsidR="007843D7">
        <w:rPr>
          <w:rFonts w:ascii="Arial" w:hAnsi="Arial" w:cs="Arial"/>
        </w:rPr>
        <w:t>siège</w:t>
      </w:r>
      <w:r>
        <w:rPr>
          <w:rFonts w:ascii="Arial" w:hAnsi="Arial" w:cs="Arial"/>
        </w:rPr>
        <w:t xml:space="preserve"> dans plusieurs instances de concertation locales. </w:t>
      </w:r>
      <w:r w:rsidR="007843D7">
        <w:rPr>
          <w:rFonts w:ascii="Arial" w:hAnsi="Arial" w:cs="Arial"/>
        </w:rPr>
        <w:t>Elle</w:t>
      </w:r>
      <w:r>
        <w:rPr>
          <w:rFonts w:ascii="Arial" w:hAnsi="Arial" w:cs="Arial"/>
        </w:rPr>
        <w:t xml:space="preserve"> y débat des risques engendrés par les activités humaines sur l’environnement, </w:t>
      </w:r>
      <w:r w:rsidR="007843D7">
        <w:rPr>
          <w:rFonts w:ascii="Arial" w:hAnsi="Arial" w:cs="Arial"/>
        </w:rPr>
        <w:t xml:space="preserve">de </w:t>
      </w:r>
      <w:r>
        <w:rPr>
          <w:rFonts w:ascii="Arial" w:hAnsi="Arial" w:cs="Arial"/>
        </w:rPr>
        <w:t>la santé, de l’extension des zones commerciales, de situations de surendettement. Pour la plupart ces instances sont de la responsabilité du Préfet ;</w:t>
      </w:r>
    </w:p>
    <w:p w14:paraId="396DDB76" w14:textId="7BF00B08" w:rsidR="007046F2" w:rsidRDefault="000023A6">
      <w:pPr>
        <w:numPr>
          <w:ilvl w:val="0"/>
          <w:numId w:val="2"/>
        </w:numPr>
        <w:spacing w:after="0"/>
        <w:jc w:val="both"/>
      </w:pPr>
      <w:r>
        <w:rPr>
          <w:rFonts w:ascii="Arial" w:hAnsi="Arial" w:cs="Arial"/>
          <w:b/>
          <w:bCs/>
        </w:rPr>
        <w:t>La communication</w:t>
      </w:r>
      <w:r>
        <w:rPr>
          <w:rFonts w:ascii="Arial" w:hAnsi="Arial" w:cs="Arial"/>
        </w:rPr>
        <w:t xml:space="preserve"> : </w:t>
      </w:r>
      <w:r w:rsidR="007843D7">
        <w:rPr>
          <w:rFonts w:ascii="Arial" w:hAnsi="Arial" w:cs="Arial"/>
        </w:rPr>
        <w:t>elle utilise</w:t>
      </w:r>
      <w:r>
        <w:rPr>
          <w:rFonts w:ascii="Arial" w:hAnsi="Arial" w:cs="Arial"/>
        </w:rPr>
        <w:t xml:space="preserve"> les médias locaux pour faire connaître le résultat de </w:t>
      </w:r>
      <w:r w:rsidR="007843D7">
        <w:rPr>
          <w:rFonts w:ascii="Arial" w:hAnsi="Arial" w:cs="Arial"/>
        </w:rPr>
        <w:t>ses</w:t>
      </w:r>
      <w:r>
        <w:rPr>
          <w:rFonts w:ascii="Arial" w:hAnsi="Arial" w:cs="Arial"/>
        </w:rPr>
        <w:t xml:space="preserve"> actions et pour rendre les consommateurs plus vigilants dans leurs actes de consommation courante.</w:t>
      </w:r>
    </w:p>
    <w:p w14:paraId="4689013A" w14:textId="77777777" w:rsidR="007046F2" w:rsidRDefault="007046F2">
      <w:pPr>
        <w:spacing w:after="0"/>
        <w:jc w:val="both"/>
        <w:rPr>
          <w:rFonts w:ascii="Arial" w:hAnsi="Arial" w:cs="Arial"/>
          <w:b/>
          <w:bCs/>
          <w:color w:val="006666"/>
          <w:sz w:val="24"/>
          <w:szCs w:val="24"/>
        </w:rPr>
      </w:pPr>
    </w:p>
    <w:p w14:paraId="1100F33A" w14:textId="77777777" w:rsidR="007046F2" w:rsidRDefault="000023A6">
      <w:pPr>
        <w:spacing w:after="0"/>
        <w:jc w:val="both"/>
        <w:rPr>
          <w:rFonts w:ascii="Arial" w:hAnsi="Arial" w:cs="Arial"/>
        </w:rPr>
      </w:pPr>
      <w:r>
        <w:rPr>
          <w:rFonts w:ascii="Arial" w:hAnsi="Arial" w:cs="Arial"/>
        </w:rPr>
        <w:t xml:space="preserve">Vous intégrez la structure de Pau en qualité de stagiaire. Madame BONTEMPS, responsable de l’agence, souhaite vous présenter les moyens de protection des consommateurs lors de leurs actes d’achats. Elle vous </w:t>
      </w:r>
      <w:r w:rsidR="000F14F1">
        <w:rPr>
          <w:rFonts w:ascii="Arial" w:hAnsi="Arial" w:cs="Arial"/>
        </w:rPr>
        <w:t>transmet</w:t>
      </w:r>
      <w:r>
        <w:rPr>
          <w:rFonts w:ascii="Arial" w:hAnsi="Arial" w:cs="Arial"/>
        </w:rPr>
        <w:t xml:space="preserve"> un ensemble documentaire qui vous permettra d’identifier </w:t>
      </w:r>
      <w:r w:rsidR="000F14F1">
        <w:rPr>
          <w:rFonts w:ascii="Arial" w:hAnsi="Arial" w:cs="Arial"/>
        </w:rPr>
        <w:t>les droits du consommateur et les obligations des vendeurs lors des actes d’achat.</w:t>
      </w:r>
    </w:p>
    <w:p w14:paraId="6C7FB3C9" w14:textId="77777777" w:rsidR="007046F2" w:rsidRDefault="007046F2">
      <w:pPr>
        <w:spacing w:after="0"/>
        <w:jc w:val="both"/>
        <w:rPr>
          <w:rFonts w:ascii="Arial" w:hAnsi="Arial" w:cs="Arial"/>
          <w:b/>
          <w:bCs/>
          <w:color w:val="006666"/>
          <w:sz w:val="24"/>
          <w:szCs w:val="24"/>
        </w:rPr>
      </w:pPr>
    </w:p>
    <w:p w14:paraId="7A211D4D" w14:textId="77777777" w:rsidR="007046F2" w:rsidRDefault="000023A6">
      <w:pPr>
        <w:jc w:val="both"/>
        <w:rPr>
          <w:rFonts w:ascii="Arial" w:hAnsi="Arial" w:cs="Arial"/>
          <w:b/>
          <w:bCs/>
          <w:color w:val="006666"/>
          <w:sz w:val="24"/>
          <w:szCs w:val="24"/>
        </w:rPr>
      </w:pPr>
      <w:r>
        <w:rPr>
          <w:rFonts w:ascii="Arial" w:hAnsi="Arial" w:cs="Arial"/>
          <w:b/>
          <w:bCs/>
          <w:color w:val="006666"/>
          <w:sz w:val="24"/>
          <w:szCs w:val="24"/>
        </w:rPr>
        <w:t xml:space="preserve">PARTIE 1 – L’asymétrie d’informations </w:t>
      </w:r>
    </w:p>
    <w:p w14:paraId="636E19C4" w14:textId="77777777" w:rsidR="007046F2" w:rsidRDefault="000023A6">
      <w:pPr>
        <w:jc w:val="both"/>
      </w:pPr>
      <w:r>
        <w:rPr>
          <w:rFonts w:ascii="Arial" w:hAnsi="Arial" w:cs="Arial"/>
        </w:rPr>
        <w:t xml:space="preserve">Prenez connaissance du </w:t>
      </w:r>
      <w:r>
        <w:rPr>
          <w:rFonts w:ascii="Arial" w:hAnsi="Arial" w:cs="Arial"/>
          <w:b/>
          <w:bCs/>
          <w:color w:val="FF0000"/>
        </w:rPr>
        <w:t>DOCUMENT 1</w:t>
      </w:r>
      <w:r>
        <w:rPr>
          <w:rFonts w:ascii="Arial" w:hAnsi="Arial" w:cs="Arial"/>
        </w:rPr>
        <w:t xml:space="preserve"> et traitez les questions suivantes.</w:t>
      </w:r>
    </w:p>
    <w:p w14:paraId="11DF6BB8" w14:textId="77777777" w:rsidR="007046F2" w:rsidRDefault="000023A6">
      <w:pPr>
        <w:pStyle w:val="Paragraphedeliste"/>
        <w:numPr>
          <w:ilvl w:val="0"/>
          <w:numId w:val="3"/>
        </w:numPr>
        <w:jc w:val="both"/>
        <w:rPr>
          <w:rFonts w:ascii="Arial" w:hAnsi="Arial" w:cs="Arial"/>
        </w:rPr>
      </w:pPr>
      <w:r>
        <w:rPr>
          <w:rFonts w:ascii="Arial" w:hAnsi="Arial" w:cs="Arial"/>
        </w:rPr>
        <w:t>Identifiez les agents économiques présents dans l’illustration.</w:t>
      </w:r>
    </w:p>
    <w:p w14:paraId="290D75A0" w14:textId="77777777" w:rsidR="00B6293E" w:rsidRDefault="00B6293E" w:rsidP="00B6293E">
      <w:pPr>
        <w:pStyle w:val="Paragraphedeliste"/>
        <w:jc w:val="both"/>
        <w:rPr>
          <w:rFonts w:ascii="Arial" w:hAnsi="Arial" w:cs="Arial"/>
        </w:rPr>
      </w:pPr>
    </w:p>
    <w:p w14:paraId="6235B7AA" w14:textId="77777777" w:rsidR="00B6293E" w:rsidRDefault="00B6293E" w:rsidP="00B6293E">
      <w:pPr>
        <w:pStyle w:val="Paragraphedeliste"/>
        <w:jc w:val="both"/>
        <w:rPr>
          <w:rFonts w:ascii="Arial" w:hAnsi="Arial" w:cs="Arial"/>
        </w:rPr>
      </w:pPr>
    </w:p>
    <w:p w14:paraId="40E7BF37" w14:textId="583FF7AC" w:rsidR="007046F2" w:rsidRDefault="000023A6">
      <w:pPr>
        <w:pStyle w:val="Paragraphedeliste"/>
        <w:numPr>
          <w:ilvl w:val="0"/>
          <w:numId w:val="3"/>
        </w:numPr>
        <w:jc w:val="both"/>
        <w:rPr>
          <w:rFonts w:ascii="Arial" w:hAnsi="Arial" w:cs="Arial"/>
        </w:rPr>
      </w:pPr>
      <w:r>
        <w:rPr>
          <w:rFonts w:ascii="Arial" w:hAnsi="Arial" w:cs="Arial"/>
        </w:rPr>
        <w:t>Expliquez l’échange économique qui est réalisé.</w:t>
      </w:r>
    </w:p>
    <w:p w14:paraId="76618CF9" w14:textId="77777777" w:rsidR="00B6293E" w:rsidRDefault="00B6293E" w:rsidP="00B6293E">
      <w:pPr>
        <w:pStyle w:val="Paragraphedeliste"/>
        <w:jc w:val="both"/>
        <w:rPr>
          <w:rFonts w:ascii="Arial" w:hAnsi="Arial" w:cs="Arial"/>
        </w:rPr>
      </w:pPr>
    </w:p>
    <w:p w14:paraId="1FB698CE" w14:textId="41D3D364" w:rsidR="007046F2" w:rsidRDefault="000023A6">
      <w:pPr>
        <w:pStyle w:val="Paragraphedeliste"/>
        <w:numPr>
          <w:ilvl w:val="0"/>
          <w:numId w:val="3"/>
        </w:numPr>
        <w:jc w:val="both"/>
        <w:rPr>
          <w:rFonts w:ascii="Arial" w:hAnsi="Arial" w:cs="Arial"/>
        </w:rPr>
      </w:pPr>
      <w:r>
        <w:rPr>
          <w:rFonts w:ascii="Arial" w:hAnsi="Arial" w:cs="Arial"/>
        </w:rPr>
        <w:t>Dégagez le problème soulevé par cette illustration.</w:t>
      </w:r>
    </w:p>
    <w:p w14:paraId="0DDAD47D" w14:textId="77777777" w:rsidR="007046F2" w:rsidRDefault="007046F2">
      <w:pPr>
        <w:jc w:val="both"/>
        <w:rPr>
          <w:rFonts w:ascii="Arial" w:hAnsi="Arial" w:cs="Arial"/>
        </w:rPr>
      </w:pPr>
    </w:p>
    <w:p w14:paraId="5FE6D9A4" w14:textId="77777777" w:rsidR="00B6293E" w:rsidRDefault="00B6293E">
      <w:pPr>
        <w:jc w:val="both"/>
        <w:rPr>
          <w:rFonts w:ascii="Arial" w:hAnsi="Arial" w:cs="Arial"/>
        </w:rPr>
      </w:pPr>
    </w:p>
    <w:p w14:paraId="26FFB88E" w14:textId="77777777" w:rsidR="00B6293E" w:rsidRDefault="00B6293E">
      <w:pPr>
        <w:jc w:val="both"/>
        <w:rPr>
          <w:rFonts w:ascii="Arial" w:hAnsi="Arial" w:cs="Arial"/>
        </w:rPr>
      </w:pPr>
    </w:p>
    <w:p w14:paraId="1F1676DC" w14:textId="77777777" w:rsidR="007046F2" w:rsidRDefault="000023A6">
      <w:pPr>
        <w:pStyle w:val="Paragraphedeliste"/>
        <w:numPr>
          <w:ilvl w:val="0"/>
          <w:numId w:val="3"/>
        </w:numPr>
        <w:jc w:val="both"/>
        <w:rPr>
          <w:rFonts w:ascii="Arial" w:hAnsi="Arial" w:cs="Arial"/>
        </w:rPr>
      </w:pPr>
      <w:r>
        <w:rPr>
          <w:rFonts w:ascii="Arial" w:hAnsi="Arial" w:cs="Arial"/>
        </w:rPr>
        <w:lastRenderedPageBreak/>
        <w:t>Expliquez comment les pouvoirs publics aident à rétablir un équilibre dans les échanges commerciaux.</w:t>
      </w:r>
    </w:p>
    <w:p w14:paraId="351D6968" w14:textId="77777777" w:rsidR="00B6293E" w:rsidRDefault="00B6293E">
      <w:pPr>
        <w:jc w:val="both"/>
        <w:rPr>
          <w:rFonts w:ascii="Arial" w:hAnsi="Arial" w:cs="Arial"/>
          <w:b/>
          <w:bCs/>
          <w:color w:val="FF0000"/>
        </w:rPr>
      </w:pPr>
      <w:bookmarkStart w:id="0" w:name="_Hlk194294916"/>
    </w:p>
    <w:p w14:paraId="6B8FEBF6" w14:textId="77777777" w:rsidR="00B6293E" w:rsidRDefault="00B6293E">
      <w:pPr>
        <w:jc w:val="both"/>
        <w:rPr>
          <w:rFonts w:ascii="Arial" w:hAnsi="Arial" w:cs="Arial"/>
          <w:b/>
          <w:bCs/>
          <w:color w:val="FF0000"/>
        </w:rPr>
      </w:pPr>
    </w:p>
    <w:p w14:paraId="7F0E0593" w14:textId="4461809D" w:rsidR="007046F2" w:rsidRDefault="000023A6">
      <w:pPr>
        <w:jc w:val="both"/>
        <w:rPr>
          <w:rFonts w:ascii="Arial" w:hAnsi="Arial" w:cs="Arial"/>
          <w:b/>
          <w:bCs/>
          <w:color w:val="006666"/>
          <w:sz w:val="24"/>
          <w:szCs w:val="24"/>
        </w:rPr>
      </w:pPr>
      <w:r>
        <w:rPr>
          <w:rFonts w:ascii="Arial" w:hAnsi="Arial" w:cs="Arial"/>
          <w:b/>
          <w:bCs/>
          <w:color w:val="006666"/>
          <w:sz w:val="24"/>
          <w:szCs w:val="24"/>
        </w:rPr>
        <w:t>PARTIE 2 – Le contrat de vente</w:t>
      </w:r>
      <w:r w:rsidR="00ED1829">
        <w:rPr>
          <w:rFonts w:ascii="Arial" w:hAnsi="Arial" w:cs="Arial"/>
          <w:b/>
          <w:bCs/>
          <w:color w:val="006666"/>
          <w:sz w:val="24"/>
          <w:szCs w:val="24"/>
        </w:rPr>
        <w:t xml:space="preserve">, </w:t>
      </w:r>
      <w:r>
        <w:rPr>
          <w:rFonts w:ascii="Arial" w:hAnsi="Arial" w:cs="Arial"/>
          <w:b/>
          <w:bCs/>
          <w:color w:val="006666"/>
          <w:sz w:val="24"/>
          <w:szCs w:val="24"/>
        </w:rPr>
        <w:t>l’information due au client</w:t>
      </w:r>
      <w:bookmarkEnd w:id="0"/>
    </w:p>
    <w:p w14:paraId="57F8DF32" w14:textId="77777777" w:rsidR="007046F2" w:rsidRDefault="000023A6">
      <w:r>
        <w:rPr>
          <w:rFonts w:ascii="Arial" w:hAnsi="Arial" w:cs="Arial"/>
        </w:rPr>
        <w:t xml:space="preserve">À partir du </w:t>
      </w:r>
      <w:r>
        <w:rPr>
          <w:rFonts w:ascii="Arial" w:hAnsi="Arial" w:cs="Arial"/>
          <w:b/>
          <w:bCs/>
          <w:color w:val="FF0000"/>
        </w:rPr>
        <w:t>DOCUMENT 2</w:t>
      </w:r>
      <w:r>
        <w:rPr>
          <w:rFonts w:ascii="Arial" w:hAnsi="Arial" w:cs="Arial"/>
          <w:color w:val="FF0000"/>
        </w:rPr>
        <w:t> </w:t>
      </w:r>
      <w:r>
        <w:rPr>
          <w:rFonts w:ascii="Arial" w:hAnsi="Arial" w:cs="Arial"/>
        </w:rPr>
        <w:t>:</w:t>
      </w:r>
    </w:p>
    <w:p w14:paraId="019778AE" w14:textId="77777777" w:rsidR="007046F2" w:rsidRDefault="000023A6">
      <w:pPr>
        <w:pStyle w:val="Paragraphedeliste"/>
        <w:numPr>
          <w:ilvl w:val="0"/>
          <w:numId w:val="3"/>
        </w:numPr>
        <w:rPr>
          <w:rFonts w:ascii="Arial" w:hAnsi="Arial" w:cs="Arial"/>
        </w:rPr>
      </w:pPr>
      <w:r>
        <w:rPr>
          <w:rFonts w:ascii="Arial" w:hAnsi="Arial" w:cs="Arial"/>
        </w:rPr>
        <w:t>Listez les obligations du vendeur à l’égard de l’acheteur dans le contrat de vente.</w:t>
      </w:r>
    </w:p>
    <w:p w14:paraId="53858A5D" w14:textId="77777777" w:rsidR="007046F2" w:rsidRDefault="007046F2">
      <w:pPr>
        <w:rPr>
          <w:rFonts w:ascii="Arial" w:hAnsi="Arial" w:cs="Arial"/>
        </w:rPr>
      </w:pPr>
    </w:p>
    <w:p w14:paraId="6AA6B4B7" w14:textId="77777777" w:rsidR="00B6293E" w:rsidRDefault="00B6293E">
      <w:pPr>
        <w:rPr>
          <w:rFonts w:ascii="Arial" w:hAnsi="Arial" w:cs="Arial"/>
        </w:rPr>
      </w:pPr>
    </w:p>
    <w:p w14:paraId="11CE5BF8" w14:textId="77777777" w:rsidR="00B6293E" w:rsidRDefault="00B6293E">
      <w:pPr>
        <w:rPr>
          <w:rFonts w:ascii="Arial" w:hAnsi="Arial" w:cs="Arial"/>
        </w:rPr>
      </w:pPr>
    </w:p>
    <w:p w14:paraId="53028BB0" w14:textId="77777777" w:rsidR="00B6293E" w:rsidRDefault="00B6293E">
      <w:pPr>
        <w:rPr>
          <w:rFonts w:ascii="Arial" w:hAnsi="Arial" w:cs="Arial"/>
        </w:rPr>
      </w:pPr>
    </w:p>
    <w:p w14:paraId="0DA963C0" w14:textId="77777777" w:rsidR="007046F2" w:rsidRDefault="000023A6">
      <w:pPr>
        <w:pStyle w:val="Paragraphedeliste"/>
        <w:numPr>
          <w:ilvl w:val="0"/>
          <w:numId w:val="3"/>
        </w:numPr>
        <w:rPr>
          <w:rFonts w:ascii="Arial" w:hAnsi="Arial" w:cs="Arial"/>
        </w:rPr>
      </w:pPr>
      <w:r>
        <w:rPr>
          <w:rFonts w:ascii="Arial" w:hAnsi="Arial" w:cs="Arial"/>
        </w:rPr>
        <w:t>Complétez le tableau ci-dessous afin de déterminer la garantie qui s’applique.</w:t>
      </w:r>
    </w:p>
    <w:tbl>
      <w:tblPr>
        <w:tblW w:w="9916" w:type="dxa"/>
        <w:tblInd w:w="-856" w:type="dxa"/>
        <w:tblCellMar>
          <w:left w:w="10" w:type="dxa"/>
          <w:right w:w="10" w:type="dxa"/>
        </w:tblCellMar>
        <w:tblLook w:val="0000" w:firstRow="0" w:lastRow="0" w:firstColumn="0" w:lastColumn="0" w:noHBand="0" w:noVBand="0"/>
      </w:tblPr>
      <w:tblGrid>
        <w:gridCol w:w="3876"/>
        <w:gridCol w:w="3020"/>
        <w:gridCol w:w="3020"/>
      </w:tblGrid>
      <w:tr w:rsidR="007046F2" w14:paraId="7B110272" w14:textId="77777777">
        <w:tc>
          <w:tcPr>
            <w:tcW w:w="38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647E2A" w14:textId="77777777" w:rsidR="007046F2" w:rsidRDefault="000023A6">
            <w:pPr>
              <w:spacing w:before="120" w:after="120" w:line="240" w:lineRule="auto"/>
              <w:jc w:val="center"/>
              <w:rPr>
                <w:rFonts w:ascii="Arial" w:hAnsi="Arial" w:cs="Arial"/>
                <w:b/>
                <w:bCs/>
                <w:color w:val="006666"/>
              </w:rPr>
            </w:pPr>
            <w:r>
              <w:rPr>
                <w:rFonts w:ascii="Arial" w:hAnsi="Arial" w:cs="Arial"/>
                <w:b/>
                <w:bCs/>
                <w:color w:val="006666"/>
              </w:rPr>
              <w:t>Situation</w:t>
            </w:r>
          </w:p>
        </w:tc>
        <w:tc>
          <w:tcPr>
            <w:tcW w:w="30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48DAB0" w14:textId="77777777" w:rsidR="007046F2" w:rsidRDefault="000023A6">
            <w:pPr>
              <w:spacing w:before="120" w:after="120" w:line="240" w:lineRule="auto"/>
              <w:jc w:val="center"/>
              <w:rPr>
                <w:rFonts w:ascii="Arial" w:hAnsi="Arial" w:cs="Arial"/>
                <w:b/>
                <w:bCs/>
                <w:color w:val="006666"/>
              </w:rPr>
            </w:pPr>
            <w:r>
              <w:rPr>
                <w:rFonts w:ascii="Arial" w:hAnsi="Arial" w:cs="Arial"/>
                <w:b/>
                <w:bCs/>
                <w:color w:val="006666"/>
              </w:rPr>
              <w:t>Garantie</w:t>
            </w:r>
          </w:p>
        </w:tc>
        <w:tc>
          <w:tcPr>
            <w:tcW w:w="30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FA6C14" w14:textId="77777777" w:rsidR="007046F2" w:rsidRDefault="000023A6">
            <w:pPr>
              <w:spacing w:before="120" w:after="120" w:line="240" w:lineRule="auto"/>
              <w:jc w:val="center"/>
              <w:rPr>
                <w:rFonts w:ascii="Arial" w:hAnsi="Arial" w:cs="Arial"/>
                <w:b/>
                <w:bCs/>
                <w:color w:val="006666"/>
              </w:rPr>
            </w:pPr>
            <w:r>
              <w:rPr>
                <w:rFonts w:ascii="Arial" w:hAnsi="Arial" w:cs="Arial"/>
                <w:b/>
                <w:bCs/>
                <w:color w:val="006666"/>
              </w:rPr>
              <w:t>Justification</w:t>
            </w:r>
          </w:p>
        </w:tc>
      </w:tr>
      <w:tr w:rsidR="007046F2" w14:paraId="2D7955C1" w14:textId="77777777" w:rsidTr="00ED1829">
        <w:tc>
          <w:tcPr>
            <w:tcW w:w="3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7BEAE" w14:textId="77777777" w:rsidR="007046F2" w:rsidRDefault="000023A6" w:rsidP="00ED1829">
            <w:pPr>
              <w:spacing w:after="0" w:line="240" w:lineRule="auto"/>
              <w:jc w:val="both"/>
              <w:rPr>
                <w:rFonts w:ascii="Arial" w:hAnsi="Arial" w:cs="Arial"/>
              </w:rPr>
            </w:pPr>
            <w:r>
              <w:rPr>
                <w:rFonts w:ascii="Arial" w:hAnsi="Arial" w:cs="Arial"/>
              </w:rPr>
              <w:t>Madame C. a commandé un pull jaune de taille M. Elle reçoit un pull L.</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C72B8" w14:textId="77777777" w:rsidR="007046F2" w:rsidRDefault="007046F2" w:rsidP="00ED1829">
            <w:pPr>
              <w:spacing w:after="0" w:line="240" w:lineRule="auto"/>
              <w:jc w:val="both"/>
              <w:rPr>
                <w:rFonts w:ascii="Arial" w:hAnsi="Arial" w:cs="Arial"/>
                <w:b/>
                <w:bCs/>
                <w:color w:val="FF0000"/>
              </w:rPr>
            </w:pPr>
          </w:p>
          <w:p w14:paraId="167B0F60" w14:textId="0C846738" w:rsidR="00B6293E" w:rsidRPr="00ED1829" w:rsidRDefault="00B6293E" w:rsidP="00ED1829">
            <w:pPr>
              <w:spacing w:after="0" w:line="240" w:lineRule="auto"/>
              <w:jc w:val="both"/>
              <w:rPr>
                <w:rFonts w:ascii="Arial" w:hAnsi="Arial" w:cs="Arial"/>
                <w:b/>
                <w:bCs/>
                <w:color w:val="FF0000"/>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99A83" w14:textId="23B5B243" w:rsidR="007046F2" w:rsidRPr="00ED1829" w:rsidRDefault="007046F2" w:rsidP="00ED1829">
            <w:pPr>
              <w:spacing w:after="0" w:line="240" w:lineRule="auto"/>
              <w:jc w:val="both"/>
              <w:rPr>
                <w:rFonts w:ascii="Arial" w:hAnsi="Arial" w:cs="Arial"/>
                <w:b/>
                <w:bCs/>
                <w:color w:val="FF0000"/>
              </w:rPr>
            </w:pPr>
          </w:p>
        </w:tc>
      </w:tr>
      <w:tr w:rsidR="007046F2" w14:paraId="21B40EE7" w14:textId="77777777" w:rsidTr="00ED1829">
        <w:tc>
          <w:tcPr>
            <w:tcW w:w="3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B8F80" w14:textId="77777777" w:rsidR="007046F2" w:rsidRDefault="000023A6" w:rsidP="00ED1829">
            <w:pPr>
              <w:spacing w:after="0" w:line="240" w:lineRule="auto"/>
              <w:jc w:val="both"/>
              <w:rPr>
                <w:rFonts w:ascii="Arial" w:hAnsi="Arial" w:cs="Arial"/>
              </w:rPr>
            </w:pPr>
            <w:r>
              <w:rPr>
                <w:rFonts w:ascii="Arial" w:hAnsi="Arial" w:cs="Arial"/>
              </w:rPr>
              <w:t xml:space="preserve">Monsieur B. achète un scooter. Après trois mois d’utilisation, une pièce du moteur casse. </w:t>
            </w:r>
            <w:r w:rsidR="000F14F1">
              <w:rPr>
                <w:rFonts w:ascii="Arial" w:hAnsi="Arial" w:cs="Arial"/>
              </w:rPr>
              <w:t>La</w:t>
            </w:r>
            <w:r>
              <w:rPr>
                <w:rFonts w:ascii="Arial" w:hAnsi="Arial" w:cs="Arial"/>
              </w:rPr>
              <w:t xml:space="preserve"> pièce était défectueuse.</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CF8CA" w14:textId="022B0DDA" w:rsidR="007046F2" w:rsidRPr="00ED1829" w:rsidRDefault="007046F2" w:rsidP="00ED1829">
            <w:pPr>
              <w:spacing w:after="0" w:line="240" w:lineRule="auto"/>
              <w:jc w:val="both"/>
              <w:rPr>
                <w:rFonts w:ascii="Arial" w:hAnsi="Arial" w:cs="Arial"/>
                <w:b/>
                <w:bCs/>
                <w:color w:val="FF0000"/>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14EAC" w14:textId="4E788FA2" w:rsidR="007046F2" w:rsidRPr="00ED1829" w:rsidRDefault="007046F2" w:rsidP="00ED1829">
            <w:pPr>
              <w:spacing w:after="0" w:line="240" w:lineRule="auto"/>
              <w:jc w:val="both"/>
              <w:rPr>
                <w:rFonts w:ascii="Arial" w:hAnsi="Arial" w:cs="Arial"/>
                <w:b/>
                <w:bCs/>
                <w:color w:val="FF0000"/>
              </w:rPr>
            </w:pPr>
          </w:p>
        </w:tc>
      </w:tr>
      <w:tr w:rsidR="007046F2" w14:paraId="464FBE7D" w14:textId="77777777" w:rsidTr="00ED1829">
        <w:tc>
          <w:tcPr>
            <w:tcW w:w="3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C7569" w14:textId="77777777" w:rsidR="007046F2" w:rsidRDefault="000023A6" w:rsidP="00ED1829">
            <w:pPr>
              <w:spacing w:after="0" w:line="240" w:lineRule="auto"/>
              <w:jc w:val="both"/>
              <w:rPr>
                <w:rFonts w:ascii="Arial" w:hAnsi="Arial" w:cs="Arial"/>
              </w:rPr>
            </w:pPr>
            <w:r>
              <w:rPr>
                <w:rFonts w:ascii="Arial" w:hAnsi="Arial" w:cs="Arial"/>
              </w:rPr>
              <w:t>Louis achète un nouveau téléphone, le vendeur indique que ce dernier est garanti 1 an, pièces et main d’œuvre</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0E72E" w14:textId="63CB6C60" w:rsidR="007046F2" w:rsidRPr="00ED1829" w:rsidRDefault="007046F2" w:rsidP="00ED1829">
            <w:pPr>
              <w:spacing w:after="0" w:line="240" w:lineRule="auto"/>
              <w:jc w:val="both"/>
              <w:rPr>
                <w:rFonts w:ascii="Arial" w:hAnsi="Arial" w:cs="Arial"/>
                <w:b/>
                <w:bCs/>
                <w:color w:val="FF0000"/>
              </w:rPr>
            </w:pP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1A5BB" w14:textId="48BF090F" w:rsidR="007046F2" w:rsidRPr="00ED1829" w:rsidRDefault="007046F2" w:rsidP="00ED1829">
            <w:pPr>
              <w:spacing w:after="0" w:line="240" w:lineRule="auto"/>
              <w:jc w:val="both"/>
              <w:rPr>
                <w:rFonts w:ascii="Arial" w:hAnsi="Arial" w:cs="Arial"/>
                <w:b/>
                <w:bCs/>
                <w:color w:val="FF0000"/>
              </w:rPr>
            </w:pPr>
          </w:p>
        </w:tc>
      </w:tr>
    </w:tbl>
    <w:p w14:paraId="7C4BAD27" w14:textId="77777777" w:rsidR="007046F2" w:rsidRDefault="007046F2">
      <w:pPr>
        <w:spacing w:after="0"/>
        <w:jc w:val="both"/>
      </w:pPr>
    </w:p>
    <w:p w14:paraId="7E3EB902" w14:textId="77777777" w:rsidR="007046F2" w:rsidRDefault="000023A6">
      <w:pPr>
        <w:spacing w:after="0"/>
        <w:jc w:val="both"/>
      </w:pPr>
      <w:r>
        <w:rPr>
          <w:rFonts w:ascii="Arial" w:hAnsi="Arial" w:cs="Arial"/>
        </w:rPr>
        <w:t xml:space="preserve">Prenez connaissance du </w:t>
      </w:r>
      <w:r>
        <w:rPr>
          <w:rFonts w:ascii="Arial" w:hAnsi="Arial" w:cs="Arial"/>
          <w:b/>
          <w:bCs/>
          <w:color w:val="FF0000"/>
        </w:rPr>
        <w:t>DOCUMENT 3</w:t>
      </w:r>
      <w:r>
        <w:rPr>
          <w:rFonts w:ascii="Arial" w:hAnsi="Arial" w:cs="Arial"/>
        </w:rPr>
        <w:t>.</w:t>
      </w:r>
    </w:p>
    <w:p w14:paraId="474C8E11" w14:textId="77777777" w:rsidR="007046F2" w:rsidRDefault="007046F2">
      <w:pPr>
        <w:spacing w:after="0"/>
        <w:jc w:val="both"/>
        <w:rPr>
          <w:rFonts w:ascii="Arial" w:hAnsi="Arial" w:cs="Arial"/>
        </w:rPr>
      </w:pPr>
    </w:p>
    <w:p w14:paraId="5EF30441" w14:textId="77777777" w:rsidR="007046F2" w:rsidRDefault="000023A6">
      <w:pPr>
        <w:pStyle w:val="Paragraphedeliste"/>
        <w:numPr>
          <w:ilvl w:val="0"/>
          <w:numId w:val="3"/>
        </w:numPr>
        <w:spacing w:after="0"/>
        <w:jc w:val="both"/>
        <w:rPr>
          <w:rFonts w:ascii="Arial" w:hAnsi="Arial" w:cs="Arial"/>
        </w:rPr>
      </w:pPr>
      <w:r>
        <w:rPr>
          <w:rFonts w:ascii="Arial" w:hAnsi="Arial" w:cs="Arial"/>
        </w:rPr>
        <w:t>Identifiez les enjeux de l’information précontractuelle pour l’acheteur.</w:t>
      </w:r>
    </w:p>
    <w:p w14:paraId="2BF728E7" w14:textId="77777777" w:rsidR="007046F2" w:rsidRDefault="007046F2">
      <w:pPr>
        <w:spacing w:after="0"/>
        <w:jc w:val="both"/>
        <w:rPr>
          <w:rFonts w:ascii="Arial" w:hAnsi="Arial" w:cs="Arial"/>
        </w:rPr>
      </w:pPr>
    </w:p>
    <w:p w14:paraId="200AF46B" w14:textId="77777777" w:rsidR="007046F2" w:rsidRDefault="007046F2">
      <w:pPr>
        <w:spacing w:after="0"/>
        <w:jc w:val="both"/>
        <w:rPr>
          <w:rFonts w:ascii="Arial" w:hAnsi="Arial" w:cs="Arial"/>
          <w:b/>
          <w:bCs/>
          <w:color w:val="FF0000"/>
        </w:rPr>
      </w:pPr>
    </w:p>
    <w:p w14:paraId="1D2E66BC" w14:textId="77777777" w:rsidR="00B6293E" w:rsidRDefault="00B6293E">
      <w:pPr>
        <w:spacing w:after="0"/>
        <w:jc w:val="both"/>
        <w:rPr>
          <w:rFonts w:ascii="Arial" w:hAnsi="Arial" w:cs="Arial"/>
          <w:b/>
          <w:bCs/>
          <w:color w:val="FF0000"/>
        </w:rPr>
      </w:pPr>
    </w:p>
    <w:p w14:paraId="519CB6C9" w14:textId="77777777" w:rsidR="00B6293E" w:rsidRDefault="00B6293E">
      <w:pPr>
        <w:spacing w:after="0"/>
        <w:jc w:val="both"/>
        <w:rPr>
          <w:rFonts w:ascii="Arial" w:hAnsi="Arial" w:cs="Arial"/>
        </w:rPr>
      </w:pPr>
    </w:p>
    <w:p w14:paraId="5F4F75A0" w14:textId="77777777" w:rsidR="007046F2" w:rsidRDefault="000023A6">
      <w:pPr>
        <w:pStyle w:val="Paragraphedeliste"/>
        <w:numPr>
          <w:ilvl w:val="0"/>
          <w:numId w:val="3"/>
        </w:numPr>
        <w:spacing w:after="0"/>
        <w:jc w:val="both"/>
        <w:rPr>
          <w:rFonts w:ascii="Arial" w:hAnsi="Arial" w:cs="Arial"/>
        </w:rPr>
      </w:pPr>
      <w:r>
        <w:rPr>
          <w:rFonts w:ascii="Arial" w:hAnsi="Arial" w:cs="Arial"/>
        </w:rPr>
        <w:t>Repérez les principales obligations précontractuelles du vendeur.</w:t>
      </w:r>
    </w:p>
    <w:p w14:paraId="06606347" w14:textId="77777777" w:rsidR="007046F2" w:rsidRDefault="007046F2">
      <w:pPr>
        <w:spacing w:after="0"/>
        <w:jc w:val="both"/>
        <w:rPr>
          <w:rFonts w:ascii="Arial" w:hAnsi="Arial" w:cs="Arial"/>
        </w:rPr>
      </w:pPr>
    </w:p>
    <w:p w14:paraId="74039EEC" w14:textId="77777777" w:rsidR="007046F2" w:rsidRDefault="007046F2">
      <w:pPr>
        <w:spacing w:after="0"/>
        <w:jc w:val="both"/>
        <w:rPr>
          <w:rFonts w:ascii="Arial" w:hAnsi="Arial" w:cs="Arial"/>
        </w:rPr>
      </w:pPr>
    </w:p>
    <w:p w14:paraId="6E3EA258" w14:textId="77777777" w:rsidR="00B6293E" w:rsidRDefault="00B6293E">
      <w:pPr>
        <w:spacing w:after="0"/>
        <w:jc w:val="both"/>
        <w:rPr>
          <w:rFonts w:ascii="Arial" w:hAnsi="Arial" w:cs="Arial"/>
        </w:rPr>
      </w:pPr>
    </w:p>
    <w:p w14:paraId="01C8C85F" w14:textId="77777777" w:rsidR="00B6293E" w:rsidRDefault="00B6293E">
      <w:pPr>
        <w:spacing w:after="0"/>
        <w:jc w:val="both"/>
        <w:rPr>
          <w:rFonts w:ascii="Arial" w:hAnsi="Arial" w:cs="Arial"/>
        </w:rPr>
      </w:pPr>
    </w:p>
    <w:p w14:paraId="4FF03D7F" w14:textId="77777777" w:rsidR="00B6293E" w:rsidRDefault="00B6293E">
      <w:pPr>
        <w:spacing w:after="0"/>
        <w:jc w:val="both"/>
        <w:rPr>
          <w:rFonts w:ascii="Arial" w:hAnsi="Arial" w:cs="Arial"/>
        </w:rPr>
      </w:pPr>
    </w:p>
    <w:p w14:paraId="7E20CCAC" w14:textId="7EB5D560" w:rsidR="007046F2" w:rsidRDefault="000023A6">
      <w:pPr>
        <w:pStyle w:val="Paragraphedeliste"/>
        <w:numPr>
          <w:ilvl w:val="0"/>
          <w:numId w:val="3"/>
        </w:numPr>
        <w:spacing w:after="0"/>
        <w:jc w:val="both"/>
        <w:rPr>
          <w:rFonts w:ascii="Arial" w:hAnsi="Arial" w:cs="Arial"/>
        </w:rPr>
      </w:pPr>
      <w:r>
        <w:rPr>
          <w:rFonts w:ascii="Arial" w:hAnsi="Arial" w:cs="Arial"/>
        </w:rPr>
        <w:t>Précisez les sanctions encourues par un professionnel ne respectant pas s</w:t>
      </w:r>
      <w:r w:rsidR="00D82A10">
        <w:rPr>
          <w:rFonts w:ascii="Arial" w:hAnsi="Arial" w:cs="Arial"/>
        </w:rPr>
        <w:t>es obligations dans le contrat de vente.</w:t>
      </w:r>
    </w:p>
    <w:p w14:paraId="27F9C4C6" w14:textId="77777777" w:rsidR="00D82A10" w:rsidRDefault="00D82A10" w:rsidP="00D82A10">
      <w:pPr>
        <w:spacing w:after="0"/>
        <w:jc w:val="both"/>
        <w:rPr>
          <w:rFonts w:ascii="Arial" w:hAnsi="Arial" w:cs="Arial"/>
        </w:rPr>
      </w:pPr>
    </w:p>
    <w:p w14:paraId="1259E0ED" w14:textId="0748CE00" w:rsidR="00B67689" w:rsidRDefault="00B67689">
      <w:pPr>
        <w:jc w:val="both"/>
        <w:rPr>
          <w:rFonts w:ascii="Arial" w:hAnsi="Arial" w:cs="Arial"/>
          <w:b/>
          <w:bCs/>
          <w:color w:val="FF0000"/>
        </w:rPr>
      </w:pPr>
    </w:p>
    <w:p w14:paraId="53631B2D" w14:textId="77777777" w:rsidR="00B6293E" w:rsidRDefault="00B6293E">
      <w:pPr>
        <w:jc w:val="both"/>
        <w:rPr>
          <w:rFonts w:ascii="Arial" w:hAnsi="Arial" w:cs="Arial"/>
          <w:b/>
          <w:bCs/>
          <w:color w:val="FF0000"/>
        </w:rPr>
      </w:pPr>
    </w:p>
    <w:p w14:paraId="219E5854" w14:textId="77777777" w:rsidR="00B6293E" w:rsidRDefault="00B6293E">
      <w:pPr>
        <w:jc w:val="both"/>
        <w:rPr>
          <w:rFonts w:ascii="Arial" w:hAnsi="Arial" w:cs="Arial"/>
          <w:b/>
          <w:bCs/>
          <w:color w:val="FF0000"/>
        </w:rPr>
      </w:pPr>
    </w:p>
    <w:p w14:paraId="2B3DFF85" w14:textId="77777777" w:rsidR="00B6293E" w:rsidRPr="00EC2EB4" w:rsidRDefault="00B6293E">
      <w:pPr>
        <w:jc w:val="both"/>
        <w:rPr>
          <w:rFonts w:ascii="Arial" w:hAnsi="Arial" w:cs="Arial"/>
          <w:b/>
          <w:bCs/>
          <w:color w:val="FF0000"/>
        </w:rPr>
      </w:pPr>
    </w:p>
    <w:p w14:paraId="288DB342" w14:textId="77777777" w:rsidR="007046F2" w:rsidRDefault="007046F2">
      <w:pPr>
        <w:jc w:val="both"/>
        <w:rPr>
          <w:rFonts w:ascii="Arial" w:hAnsi="Arial" w:cs="Arial"/>
          <w:b/>
          <w:bCs/>
          <w:color w:val="FF0000"/>
        </w:rPr>
      </w:pPr>
    </w:p>
    <w:p w14:paraId="734CB560" w14:textId="77777777" w:rsidR="00D82A10" w:rsidRDefault="00D82A10">
      <w:pPr>
        <w:jc w:val="both"/>
        <w:rPr>
          <w:rFonts w:ascii="Arial" w:hAnsi="Arial" w:cs="Arial"/>
          <w:b/>
          <w:bCs/>
          <w:color w:val="FF0000"/>
        </w:rPr>
      </w:pPr>
    </w:p>
    <w:p w14:paraId="2523EFF1" w14:textId="77777777" w:rsidR="007046F2" w:rsidRDefault="000023A6">
      <w:pPr>
        <w:jc w:val="both"/>
        <w:rPr>
          <w:rFonts w:ascii="Arial" w:hAnsi="Arial" w:cs="Arial"/>
          <w:b/>
          <w:bCs/>
          <w:color w:val="006666"/>
          <w:sz w:val="24"/>
          <w:szCs w:val="24"/>
        </w:rPr>
      </w:pPr>
      <w:r>
        <w:rPr>
          <w:rFonts w:ascii="Arial" w:hAnsi="Arial" w:cs="Arial"/>
          <w:b/>
          <w:bCs/>
          <w:color w:val="006666"/>
          <w:sz w:val="24"/>
          <w:szCs w:val="24"/>
        </w:rPr>
        <w:lastRenderedPageBreak/>
        <w:t>PARTIE 3 – Les enjeux de la protection des données personnelles</w:t>
      </w:r>
    </w:p>
    <w:p w14:paraId="6EB8BF13" w14:textId="77777777" w:rsidR="007046F2" w:rsidRDefault="000023A6">
      <w:pPr>
        <w:jc w:val="both"/>
      </w:pPr>
      <w:r>
        <w:rPr>
          <w:rFonts w:ascii="Arial" w:hAnsi="Arial" w:cs="Arial"/>
        </w:rPr>
        <w:t xml:space="preserve">Analysez désormais le </w:t>
      </w:r>
      <w:r>
        <w:rPr>
          <w:rFonts w:ascii="Arial" w:hAnsi="Arial" w:cs="Arial"/>
          <w:b/>
          <w:bCs/>
          <w:color w:val="FF0000"/>
        </w:rPr>
        <w:t>DOCUMENT 4</w:t>
      </w:r>
      <w:r>
        <w:rPr>
          <w:rFonts w:ascii="Arial" w:hAnsi="Arial" w:cs="Arial"/>
        </w:rPr>
        <w:t>.</w:t>
      </w:r>
    </w:p>
    <w:p w14:paraId="40872387" w14:textId="77777777" w:rsidR="007046F2" w:rsidRDefault="000023A6">
      <w:pPr>
        <w:pStyle w:val="Paragraphedeliste"/>
        <w:numPr>
          <w:ilvl w:val="0"/>
          <w:numId w:val="3"/>
        </w:numPr>
        <w:jc w:val="both"/>
        <w:rPr>
          <w:rFonts w:ascii="Arial" w:hAnsi="Arial" w:cs="Arial"/>
        </w:rPr>
      </w:pPr>
      <w:r>
        <w:rPr>
          <w:rFonts w:ascii="Arial" w:hAnsi="Arial" w:cs="Arial"/>
        </w:rPr>
        <w:t>Définissez la notion de « données personnelles ».</w:t>
      </w:r>
    </w:p>
    <w:p w14:paraId="4CF216D5" w14:textId="77777777" w:rsidR="00B6293E" w:rsidRDefault="00B6293E" w:rsidP="00B6293E">
      <w:pPr>
        <w:pStyle w:val="Paragraphedeliste"/>
        <w:jc w:val="both"/>
        <w:rPr>
          <w:rFonts w:ascii="Arial" w:hAnsi="Arial" w:cs="Arial"/>
        </w:rPr>
      </w:pPr>
    </w:p>
    <w:p w14:paraId="2FC8176B" w14:textId="77777777" w:rsidR="00B6293E" w:rsidRDefault="00B6293E" w:rsidP="00B6293E">
      <w:pPr>
        <w:pStyle w:val="Paragraphedeliste"/>
        <w:jc w:val="both"/>
        <w:rPr>
          <w:rFonts w:ascii="Arial" w:hAnsi="Arial" w:cs="Arial"/>
        </w:rPr>
      </w:pPr>
    </w:p>
    <w:p w14:paraId="2491FD6E" w14:textId="77777777" w:rsidR="00B6293E" w:rsidRDefault="00B6293E" w:rsidP="00B6293E">
      <w:pPr>
        <w:pStyle w:val="Paragraphedeliste"/>
        <w:jc w:val="both"/>
        <w:rPr>
          <w:rFonts w:ascii="Arial" w:hAnsi="Arial" w:cs="Arial"/>
        </w:rPr>
      </w:pPr>
    </w:p>
    <w:p w14:paraId="56039CFD" w14:textId="048066BD" w:rsidR="007046F2" w:rsidRDefault="000023A6">
      <w:pPr>
        <w:pStyle w:val="Paragraphedeliste"/>
        <w:numPr>
          <w:ilvl w:val="0"/>
          <w:numId w:val="3"/>
        </w:numPr>
        <w:jc w:val="both"/>
        <w:rPr>
          <w:rFonts w:ascii="Arial" w:hAnsi="Arial" w:cs="Arial"/>
        </w:rPr>
      </w:pPr>
      <w:r>
        <w:rPr>
          <w:rFonts w:ascii="Arial" w:hAnsi="Arial" w:cs="Arial"/>
        </w:rPr>
        <w:t xml:space="preserve">Donnez </w:t>
      </w:r>
      <w:r w:rsidR="00AB7E89">
        <w:rPr>
          <w:rFonts w:ascii="Arial" w:hAnsi="Arial" w:cs="Arial"/>
        </w:rPr>
        <w:t>trois autres exemples de données personnelles vous concernant.</w:t>
      </w:r>
    </w:p>
    <w:p w14:paraId="0C39C56E" w14:textId="77777777" w:rsidR="00B6293E" w:rsidRDefault="00B6293E" w:rsidP="00B6293E">
      <w:pPr>
        <w:pStyle w:val="Paragraphedeliste"/>
        <w:jc w:val="both"/>
        <w:rPr>
          <w:rFonts w:ascii="Arial" w:hAnsi="Arial" w:cs="Arial"/>
        </w:rPr>
      </w:pPr>
    </w:p>
    <w:p w14:paraId="05E88A11" w14:textId="77777777" w:rsidR="00B6293E" w:rsidRDefault="00B6293E" w:rsidP="00B6293E">
      <w:pPr>
        <w:pStyle w:val="Paragraphedeliste"/>
        <w:jc w:val="both"/>
        <w:rPr>
          <w:rFonts w:ascii="Arial" w:hAnsi="Arial" w:cs="Arial"/>
        </w:rPr>
      </w:pPr>
    </w:p>
    <w:p w14:paraId="7D1AF755" w14:textId="77777777" w:rsidR="00B6293E" w:rsidRDefault="00B6293E" w:rsidP="00B6293E">
      <w:pPr>
        <w:pStyle w:val="Paragraphedeliste"/>
        <w:jc w:val="both"/>
        <w:rPr>
          <w:rFonts w:ascii="Arial" w:hAnsi="Arial" w:cs="Arial"/>
        </w:rPr>
      </w:pPr>
    </w:p>
    <w:p w14:paraId="62DB7002" w14:textId="0FB41FEF" w:rsidR="007046F2" w:rsidRDefault="000023A6">
      <w:pPr>
        <w:pStyle w:val="Paragraphedeliste"/>
        <w:numPr>
          <w:ilvl w:val="0"/>
          <w:numId w:val="3"/>
        </w:numPr>
        <w:jc w:val="both"/>
        <w:rPr>
          <w:rFonts w:ascii="Arial" w:hAnsi="Arial" w:cs="Arial"/>
        </w:rPr>
      </w:pPr>
      <w:r>
        <w:rPr>
          <w:rFonts w:ascii="Arial" w:hAnsi="Arial" w:cs="Arial"/>
        </w:rPr>
        <w:t>Identifiez les textes de loi encadrant la protection des données personnelles des particuliers.</w:t>
      </w:r>
    </w:p>
    <w:p w14:paraId="31604AFB" w14:textId="77777777" w:rsidR="00B6293E" w:rsidRDefault="00B6293E" w:rsidP="00B6293E">
      <w:pPr>
        <w:jc w:val="both"/>
        <w:rPr>
          <w:rFonts w:ascii="Arial" w:hAnsi="Arial" w:cs="Arial"/>
        </w:rPr>
      </w:pPr>
    </w:p>
    <w:p w14:paraId="3AAD7CE4" w14:textId="77777777" w:rsidR="00B6293E" w:rsidRDefault="00B6293E" w:rsidP="00B6293E">
      <w:pPr>
        <w:jc w:val="both"/>
        <w:rPr>
          <w:rFonts w:ascii="Arial" w:hAnsi="Arial" w:cs="Arial"/>
        </w:rPr>
      </w:pPr>
    </w:p>
    <w:p w14:paraId="21DCF30D" w14:textId="77777777" w:rsidR="00B6293E" w:rsidRPr="00B6293E" w:rsidRDefault="00B6293E" w:rsidP="00B6293E">
      <w:pPr>
        <w:jc w:val="both"/>
        <w:rPr>
          <w:rFonts w:ascii="Arial" w:hAnsi="Arial" w:cs="Arial"/>
        </w:rPr>
      </w:pPr>
    </w:p>
    <w:p w14:paraId="4B482514" w14:textId="77777777" w:rsidR="007046F2" w:rsidRDefault="000023A6">
      <w:pPr>
        <w:pStyle w:val="Paragraphedeliste"/>
        <w:numPr>
          <w:ilvl w:val="0"/>
          <w:numId w:val="3"/>
        </w:numPr>
        <w:jc w:val="both"/>
        <w:rPr>
          <w:rFonts w:ascii="Arial" w:hAnsi="Arial" w:cs="Arial"/>
        </w:rPr>
      </w:pPr>
      <w:r>
        <w:rPr>
          <w:rFonts w:ascii="Arial" w:hAnsi="Arial" w:cs="Arial"/>
        </w:rPr>
        <w:t>Analysez les situations ci-dessous et précisez le droit auquel vous avez accès en matière de traitement des données personnelles.</w:t>
      </w:r>
    </w:p>
    <w:tbl>
      <w:tblPr>
        <w:tblW w:w="10029" w:type="dxa"/>
        <w:tblInd w:w="-856" w:type="dxa"/>
        <w:tblCellMar>
          <w:left w:w="10" w:type="dxa"/>
          <w:right w:w="10" w:type="dxa"/>
        </w:tblCellMar>
        <w:tblLook w:val="0000" w:firstRow="0" w:lastRow="0" w:firstColumn="0" w:lastColumn="0" w:noHBand="0" w:noVBand="0"/>
      </w:tblPr>
      <w:tblGrid>
        <w:gridCol w:w="7009"/>
        <w:gridCol w:w="3020"/>
      </w:tblGrid>
      <w:tr w:rsidR="007046F2" w14:paraId="3EAA0F2A" w14:textId="77777777">
        <w:tc>
          <w:tcPr>
            <w:tcW w:w="70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34490" w14:textId="77777777" w:rsidR="007046F2" w:rsidRDefault="000023A6">
            <w:pPr>
              <w:spacing w:after="0" w:line="240" w:lineRule="auto"/>
              <w:jc w:val="center"/>
              <w:rPr>
                <w:rFonts w:ascii="Arial" w:hAnsi="Arial" w:cs="Arial"/>
                <w:b/>
                <w:bCs/>
                <w:color w:val="006666"/>
              </w:rPr>
            </w:pPr>
            <w:r>
              <w:rPr>
                <w:rFonts w:ascii="Arial" w:hAnsi="Arial" w:cs="Arial"/>
                <w:b/>
                <w:bCs/>
                <w:color w:val="006666"/>
              </w:rPr>
              <w:t>Situation</w:t>
            </w:r>
          </w:p>
        </w:tc>
        <w:tc>
          <w:tcPr>
            <w:tcW w:w="30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2A090D" w14:textId="77777777" w:rsidR="007046F2" w:rsidRDefault="000023A6">
            <w:pPr>
              <w:spacing w:after="0" w:line="240" w:lineRule="auto"/>
              <w:jc w:val="center"/>
              <w:rPr>
                <w:rFonts w:ascii="Arial" w:hAnsi="Arial" w:cs="Arial"/>
                <w:b/>
                <w:bCs/>
                <w:color w:val="006666"/>
              </w:rPr>
            </w:pPr>
            <w:r>
              <w:rPr>
                <w:rFonts w:ascii="Arial" w:hAnsi="Arial" w:cs="Arial"/>
                <w:b/>
                <w:bCs/>
                <w:color w:val="006666"/>
              </w:rPr>
              <w:t>Droit relatif au RGPD</w:t>
            </w:r>
          </w:p>
        </w:tc>
      </w:tr>
      <w:tr w:rsidR="007046F2" w14:paraId="3D5E0CED" w14:textId="77777777">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49720" w14:textId="77777777" w:rsidR="007046F2" w:rsidRDefault="000023A6">
            <w:pPr>
              <w:spacing w:after="0" w:line="240" w:lineRule="auto"/>
              <w:jc w:val="both"/>
              <w:rPr>
                <w:rFonts w:ascii="Arial" w:hAnsi="Arial" w:cs="Arial"/>
                <w:color w:val="000000"/>
              </w:rPr>
            </w:pPr>
            <w:r>
              <w:rPr>
                <w:rFonts w:ascii="Arial" w:hAnsi="Arial" w:cs="Arial"/>
                <w:color w:val="000000"/>
              </w:rPr>
              <w:t>Vous souhaitez pouvoir disposer de toutes les informations qu’une grande chaîne commerciale détient sur vous</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66A70" w14:textId="346509AC" w:rsidR="007046F2" w:rsidRDefault="007046F2">
            <w:pPr>
              <w:spacing w:after="0" w:line="240" w:lineRule="auto"/>
              <w:jc w:val="both"/>
              <w:rPr>
                <w:rFonts w:ascii="Arial" w:hAnsi="Arial" w:cs="Arial"/>
                <w:b/>
                <w:bCs/>
                <w:color w:val="FF0000"/>
              </w:rPr>
            </w:pPr>
          </w:p>
        </w:tc>
      </w:tr>
      <w:tr w:rsidR="007046F2" w14:paraId="75EBBA5D" w14:textId="77777777">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2A973" w14:textId="77777777" w:rsidR="007046F2" w:rsidRDefault="000023A6">
            <w:pPr>
              <w:spacing w:after="0" w:line="240" w:lineRule="auto"/>
              <w:jc w:val="both"/>
              <w:rPr>
                <w:rFonts w:ascii="Arial" w:hAnsi="Arial" w:cs="Arial"/>
                <w:color w:val="000000"/>
              </w:rPr>
            </w:pPr>
            <w:r>
              <w:rPr>
                <w:rFonts w:ascii="Arial" w:hAnsi="Arial" w:cs="Arial"/>
                <w:color w:val="000000"/>
              </w:rPr>
              <w:t>Vous souhaitez faire disparaître des informations vous concernant d’un réseau social</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B9A50" w14:textId="2330DE0F" w:rsidR="007046F2" w:rsidRDefault="007046F2">
            <w:pPr>
              <w:spacing w:after="0" w:line="240" w:lineRule="auto"/>
              <w:jc w:val="both"/>
              <w:rPr>
                <w:rFonts w:ascii="Arial" w:hAnsi="Arial" w:cs="Arial"/>
                <w:b/>
                <w:bCs/>
                <w:color w:val="FF0000"/>
              </w:rPr>
            </w:pPr>
          </w:p>
        </w:tc>
      </w:tr>
      <w:tr w:rsidR="007046F2" w14:paraId="434CD8DA" w14:textId="77777777">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970AD" w14:textId="09E5AC32" w:rsidR="007046F2" w:rsidRDefault="00522AA5">
            <w:pPr>
              <w:spacing w:after="0" w:line="240" w:lineRule="auto"/>
              <w:jc w:val="both"/>
              <w:rPr>
                <w:rFonts w:ascii="Arial" w:hAnsi="Arial" w:cs="Arial"/>
                <w:color w:val="000000"/>
              </w:rPr>
            </w:pPr>
            <w:r>
              <w:rPr>
                <w:rFonts w:ascii="Arial" w:hAnsi="Arial" w:cs="Arial"/>
                <w:color w:val="000000"/>
              </w:rPr>
              <w:t xml:space="preserve">Vous souhaitez ne plus être contacté par des entreprises pour du démarchage téléphonique </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49675" w14:textId="24C39F5F" w:rsidR="007046F2" w:rsidRDefault="007046F2">
            <w:pPr>
              <w:spacing w:after="0" w:line="240" w:lineRule="auto"/>
              <w:jc w:val="both"/>
              <w:rPr>
                <w:rFonts w:ascii="Arial" w:hAnsi="Arial" w:cs="Arial"/>
                <w:b/>
                <w:bCs/>
                <w:color w:val="FF0000"/>
              </w:rPr>
            </w:pPr>
          </w:p>
        </w:tc>
      </w:tr>
      <w:tr w:rsidR="007046F2" w14:paraId="3FCEFB5C" w14:textId="77777777">
        <w:tc>
          <w:tcPr>
            <w:tcW w:w="7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99D96" w14:textId="77777777" w:rsidR="007046F2" w:rsidRDefault="000023A6">
            <w:pPr>
              <w:spacing w:after="0" w:line="240" w:lineRule="auto"/>
              <w:jc w:val="both"/>
              <w:rPr>
                <w:rFonts w:ascii="Arial" w:hAnsi="Arial" w:cs="Arial"/>
                <w:color w:val="000000"/>
              </w:rPr>
            </w:pPr>
            <w:r>
              <w:rPr>
                <w:rFonts w:ascii="Arial" w:hAnsi="Arial" w:cs="Arial"/>
                <w:color w:val="000000"/>
              </w:rPr>
              <w:t>Vous souhaitez changer d’opérateur mobile et demandez le transfert de votre dossier client</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F6DAB" w14:textId="7FC5C2A5" w:rsidR="007046F2" w:rsidRDefault="007046F2">
            <w:pPr>
              <w:spacing w:after="0" w:line="240" w:lineRule="auto"/>
              <w:jc w:val="both"/>
              <w:rPr>
                <w:rFonts w:ascii="Arial" w:hAnsi="Arial" w:cs="Arial"/>
                <w:b/>
                <w:bCs/>
                <w:color w:val="FF0000"/>
              </w:rPr>
            </w:pPr>
          </w:p>
        </w:tc>
      </w:tr>
    </w:tbl>
    <w:p w14:paraId="028DC1C8" w14:textId="77777777" w:rsidR="007046F2" w:rsidRDefault="007046F2">
      <w:pPr>
        <w:jc w:val="both"/>
        <w:rPr>
          <w:rFonts w:ascii="Arial" w:hAnsi="Arial" w:cs="Arial"/>
          <w:b/>
          <w:bCs/>
          <w:color w:val="FF0000"/>
        </w:rPr>
      </w:pPr>
    </w:p>
    <w:p w14:paraId="134FC277" w14:textId="77777777" w:rsidR="007046F2" w:rsidRDefault="000023A6">
      <w:pPr>
        <w:pStyle w:val="Paragraphedeliste"/>
        <w:numPr>
          <w:ilvl w:val="0"/>
          <w:numId w:val="3"/>
        </w:numPr>
        <w:jc w:val="both"/>
        <w:rPr>
          <w:rFonts w:ascii="Arial" w:hAnsi="Arial" w:cs="Arial"/>
        </w:rPr>
      </w:pPr>
      <w:r>
        <w:rPr>
          <w:rFonts w:ascii="Arial" w:hAnsi="Arial" w:cs="Arial"/>
        </w:rPr>
        <w:t xml:space="preserve">Identifiez les organismes qui peuvent vous aider à faire valoir vos droits numériques. </w:t>
      </w:r>
    </w:p>
    <w:p w14:paraId="542D2DEB" w14:textId="77777777" w:rsidR="007046F2" w:rsidRDefault="007046F2">
      <w:pPr>
        <w:jc w:val="both"/>
        <w:rPr>
          <w:rFonts w:ascii="Arial" w:hAnsi="Arial" w:cs="Arial"/>
          <w:b/>
          <w:bCs/>
          <w:color w:val="FF0000"/>
        </w:rPr>
      </w:pPr>
    </w:p>
    <w:p w14:paraId="207251BE" w14:textId="77777777" w:rsidR="00B6293E" w:rsidRDefault="00B6293E">
      <w:pPr>
        <w:jc w:val="both"/>
        <w:rPr>
          <w:rFonts w:ascii="Arial" w:hAnsi="Arial" w:cs="Arial"/>
          <w:b/>
          <w:bCs/>
          <w:color w:val="FF0000"/>
        </w:rPr>
      </w:pPr>
    </w:p>
    <w:p w14:paraId="644776F2" w14:textId="77777777" w:rsidR="007046F2" w:rsidRDefault="007046F2">
      <w:pPr>
        <w:jc w:val="both"/>
        <w:rPr>
          <w:rFonts w:ascii="Arial" w:hAnsi="Arial" w:cs="Arial"/>
          <w:b/>
          <w:bCs/>
          <w:color w:val="FF0000"/>
        </w:rPr>
      </w:pPr>
    </w:p>
    <w:p w14:paraId="24AB154E" w14:textId="77777777" w:rsidR="007046F2" w:rsidRDefault="007046F2">
      <w:pPr>
        <w:jc w:val="both"/>
        <w:rPr>
          <w:rFonts w:ascii="Arial" w:hAnsi="Arial" w:cs="Arial"/>
          <w:b/>
          <w:bCs/>
          <w:color w:val="FF0000"/>
        </w:rPr>
      </w:pPr>
    </w:p>
    <w:p w14:paraId="525D20AF" w14:textId="77777777" w:rsidR="007046F2" w:rsidRDefault="007046F2">
      <w:pPr>
        <w:jc w:val="both"/>
        <w:rPr>
          <w:rFonts w:ascii="Arial" w:hAnsi="Arial" w:cs="Arial"/>
          <w:b/>
          <w:bCs/>
          <w:color w:val="FF0000"/>
        </w:rPr>
      </w:pPr>
    </w:p>
    <w:p w14:paraId="20155F18" w14:textId="77777777" w:rsidR="007046F2" w:rsidRDefault="000023A6">
      <w:pPr>
        <w:jc w:val="both"/>
      </w:pPr>
      <w:r>
        <w:rPr>
          <w:rFonts w:ascii="Arial" w:hAnsi="Arial" w:cs="Arial"/>
          <w:noProof/>
          <w:lang w:eastAsia="fr-FR"/>
        </w:rPr>
        <w:lastRenderedPageBreak/>
        <w:drawing>
          <wp:anchor distT="0" distB="0" distL="114300" distR="114300" simplePos="0" relativeHeight="251658240" behindDoc="0" locked="0" layoutInCell="1" allowOverlap="1" wp14:anchorId="374FDDB3" wp14:editId="0DF8EEE7">
            <wp:simplePos x="0" y="0"/>
            <wp:positionH relativeFrom="margin">
              <wp:posOffset>2943919</wp:posOffset>
            </wp:positionH>
            <wp:positionV relativeFrom="paragraph">
              <wp:posOffset>27422</wp:posOffset>
            </wp:positionV>
            <wp:extent cx="3539139" cy="4813712"/>
            <wp:effectExtent l="0" t="0" r="4161" b="5938"/>
            <wp:wrapSquare wrapText="bothSides"/>
            <wp:docPr id="2" name="Image 1" descr="Les asymétries d'information | Alternatives Economiqu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4807" t="5634" r="4221" b="5375"/>
                    <a:stretch>
                      <a:fillRect/>
                    </a:stretch>
                  </pic:blipFill>
                  <pic:spPr>
                    <a:xfrm>
                      <a:off x="0" y="0"/>
                      <a:ext cx="3539139" cy="4813712"/>
                    </a:xfrm>
                    <a:prstGeom prst="rect">
                      <a:avLst/>
                    </a:prstGeom>
                    <a:noFill/>
                    <a:ln>
                      <a:noFill/>
                      <a:prstDash/>
                    </a:ln>
                  </pic:spPr>
                </pic:pic>
              </a:graphicData>
            </a:graphic>
          </wp:anchor>
        </w:drawing>
      </w:r>
      <w:r>
        <w:rPr>
          <w:rFonts w:ascii="Arial" w:hAnsi="Arial" w:cs="Arial"/>
          <w:b/>
          <w:bCs/>
          <w:color w:val="FF0000"/>
        </w:rPr>
        <w:t xml:space="preserve">DOCUMENT 1 – L’asymétrie d’information </w:t>
      </w:r>
    </w:p>
    <w:p w14:paraId="6EEDE1C6" w14:textId="77777777" w:rsidR="007046F2" w:rsidRDefault="000023A6">
      <w:pPr>
        <w:jc w:val="both"/>
        <w:rPr>
          <w:rFonts w:ascii="Arial" w:hAnsi="Arial" w:cs="Arial"/>
        </w:rPr>
      </w:pPr>
      <w:r>
        <w:rPr>
          <w:rFonts w:ascii="Arial" w:hAnsi="Arial" w:cs="Arial"/>
        </w:rPr>
        <w:t>Une asymétrie d'information est une situation où, sur un marché, les agents économiques qui contractent ou échangent ne sont pas sur un pied d'égalité en termes d'informations, l'un des deux agents détenant une information que l'autre n'a pas.</w:t>
      </w:r>
    </w:p>
    <w:p w14:paraId="36FB62C4" w14:textId="77777777" w:rsidR="007046F2" w:rsidRDefault="000023A6">
      <w:pPr>
        <w:jc w:val="both"/>
        <w:rPr>
          <w:rFonts w:ascii="Arial" w:hAnsi="Arial" w:cs="Arial"/>
        </w:rPr>
      </w:pPr>
      <w:r>
        <w:rPr>
          <w:rFonts w:ascii="Arial" w:hAnsi="Arial" w:cs="Arial"/>
        </w:rPr>
        <w:t>Ce déséquilibre dans l’information peut se trouver au moment de la signature du contrat ou lors de son exécution.</w:t>
      </w:r>
    </w:p>
    <w:p w14:paraId="6508BA2A" w14:textId="4B519C7F" w:rsidR="007046F2" w:rsidRDefault="000023A6">
      <w:pPr>
        <w:jc w:val="both"/>
        <w:rPr>
          <w:rFonts w:ascii="Arial" w:hAnsi="Arial" w:cs="Arial"/>
        </w:rPr>
      </w:pPr>
      <w:r>
        <w:rPr>
          <w:rFonts w:ascii="Arial" w:hAnsi="Arial" w:cs="Arial"/>
        </w:rPr>
        <w:t xml:space="preserve">Des risques pour la santé, des pratiques trompeuses sur la qualité, des prix ne correspondant pas à la valeur réelle du bien (ou du marché), peuvent alors </w:t>
      </w:r>
      <w:r w:rsidR="00FE0A45">
        <w:rPr>
          <w:rFonts w:ascii="Arial" w:hAnsi="Arial" w:cs="Arial"/>
        </w:rPr>
        <w:t>survenir</w:t>
      </w:r>
      <w:r>
        <w:rPr>
          <w:rFonts w:ascii="Arial" w:hAnsi="Arial" w:cs="Arial"/>
        </w:rPr>
        <w:t xml:space="preserve">. </w:t>
      </w:r>
    </w:p>
    <w:p w14:paraId="1ADAC99B" w14:textId="3DE2C516" w:rsidR="007046F2" w:rsidRDefault="000023A6">
      <w:pPr>
        <w:jc w:val="both"/>
        <w:rPr>
          <w:rFonts w:ascii="Arial" w:hAnsi="Arial" w:cs="Arial"/>
        </w:rPr>
      </w:pPr>
      <w:r>
        <w:rPr>
          <w:rFonts w:ascii="Arial" w:hAnsi="Arial" w:cs="Arial"/>
        </w:rPr>
        <w:t xml:space="preserve">Pour éviter ces conséquences nuisibles à l'activité économique, les pouvoirs publics peuvent obliger les agents à fournir un certain nombre d'informations </w:t>
      </w:r>
      <w:r w:rsidR="00FE0A45">
        <w:rPr>
          <w:rFonts w:ascii="Arial" w:hAnsi="Arial" w:cs="Arial"/>
        </w:rPr>
        <w:t>notamment par le biais de la règlementation (normes, certification), de fiches techniques obligatoires, d’indices… En outre, ils peuvent prévoir un régime de sanctions.</w:t>
      </w:r>
    </w:p>
    <w:p w14:paraId="56750BCF" w14:textId="77777777" w:rsidR="007046F2" w:rsidRDefault="000023A6">
      <w:pPr>
        <w:jc w:val="both"/>
      </w:pPr>
      <w:r>
        <w:rPr>
          <w:rFonts w:ascii="Arial" w:hAnsi="Arial" w:cs="Arial"/>
          <w:b/>
          <w:bCs/>
        </w:rPr>
        <w:t>Source</w:t>
      </w:r>
      <w:r>
        <w:rPr>
          <w:rFonts w:ascii="Arial" w:hAnsi="Arial" w:cs="Arial"/>
        </w:rPr>
        <w:t> : auteur/alternative économique</w:t>
      </w:r>
    </w:p>
    <w:p w14:paraId="6352EF7F" w14:textId="77777777" w:rsidR="007046F2" w:rsidRDefault="007046F2">
      <w:pPr>
        <w:rPr>
          <w:rFonts w:ascii="Arial" w:hAnsi="Arial" w:cs="Arial"/>
        </w:rPr>
      </w:pPr>
    </w:p>
    <w:p w14:paraId="7FBAB92B" w14:textId="77777777" w:rsidR="007046F2" w:rsidRDefault="007046F2">
      <w:pPr>
        <w:rPr>
          <w:rFonts w:ascii="Arial" w:hAnsi="Arial" w:cs="Arial"/>
        </w:rPr>
      </w:pPr>
    </w:p>
    <w:p w14:paraId="395EA540" w14:textId="77777777" w:rsidR="007046F2" w:rsidRDefault="000023A6">
      <w:pPr>
        <w:rPr>
          <w:rFonts w:ascii="Arial" w:hAnsi="Arial" w:cs="Arial"/>
          <w:b/>
          <w:bCs/>
          <w:color w:val="FF0000"/>
        </w:rPr>
      </w:pPr>
      <w:r>
        <w:rPr>
          <w:rFonts w:ascii="Arial" w:hAnsi="Arial" w:cs="Arial"/>
          <w:b/>
          <w:bCs/>
          <w:color w:val="FF0000"/>
        </w:rPr>
        <w:t>DOCUMENT 2 – Définition du contrat de vente</w:t>
      </w:r>
    </w:p>
    <w:p w14:paraId="7EF66130" w14:textId="77777777" w:rsidR="007046F2" w:rsidRDefault="000023A6">
      <w:pPr>
        <w:jc w:val="both"/>
      </w:pPr>
      <w:r>
        <w:rPr>
          <w:rFonts w:ascii="Arial" w:hAnsi="Arial" w:cs="Arial"/>
          <w:noProof/>
          <w:lang w:eastAsia="fr-FR"/>
        </w:rPr>
        <w:drawing>
          <wp:anchor distT="0" distB="0" distL="114300" distR="114300" simplePos="0" relativeHeight="251659264" behindDoc="0" locked="0" layoutInCell="1" allowOverlap="1" wp14:anchorId="21F1C35A" wp14:editId="52E00659">
            <wp:simplePos x="0" y="0"/>
            <wp:positionH relativeFrom="column">
              <wp:posOffset>3469873</wp:posOffset>
            </wp:positionH>
            <wp:positionV relativeFrom="paragraph">
              <wp:posOffset>2596</wp:posOffset>
            </wp:positionV>
            <wp:extent cx="2763517" cy="3275325"/>
            <wp:effectExtent l="0" t="0" r="0" b="1275"/>
            <wp:wrapSquare wrapText="bothSides"/>
            <wp:docPr id="3" name="Image 1" descr="Tout savoir sur les garanties - Consommation - Alimentation, commerce et  consommation - Actions de l'État - Les services de l'État dans la Loi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763517" cy="3275325"/>
                    </a:xfrm>
                    <a:prstGeom prst="rect">
                      <a:avLst/>
                    </a:prstGeom>
                    <a:noFill/>
                    <a:ln>
                      <a:noFill/>
                      <a:prstDash/>
                    </a:ln>
                  </pic:spPr>
                </pic:pic>
              </a:graphicData>
            </a:graphic>
          </wp:anchor>
        </w:drawing>
      </w:r>
      <w:r>
        <w:rPr>
          <w:rFonts w:ascii="Arial" w:hAnsi="Arial" w:cs="Arial"/>
        </w:rPr>
        <w:t>Le contrat de vente est un accord par lequel un vendeur transfère la propriété d’un bien à un acheteur. Le contrat de vente fait naître plusieurs obligations entre les parties : l'obligation pour l'acheteur de payer le prix et l'obligation pour le vendeur de délivrer le bien.</w:t>
      </w:r>
    </w:p>
    <w:p w14:paraId="4CFB5F94" w14:textId="77777777" w:rsidR="007046F2" w:rsidRDefault="000023A6">
      <w:pPr>
        <w:jc w:val="both"/>
        <w:rPr>
          <w:rFonts w:ascii="Arial" w:hAnsi="Arial" w:cs="Arial"/>
        </w:rPr>
      </w:pPr>
      <w:r>
        <w:rPr>
          <w:rFonts w:ascii="Arial" w:hAnsi="Arial" w:cs="Arial"/>
        </w:rPr>
        <w:t xml:space="preserve">De plus, dans tous les contrats de vente, le vendeur est soumis à l’obligation d’information : l’acheteur doit pouvoir connaître tous les termes du contrat avant que la vente soit effectuée. Il est également dans l’obligation de le garantir contre les vices cachés et de délivrer un bien conforme à ce qui a été conclu. Il est enfin tenu de la sécurité de l’objet vendu, et est responsable en cas de dommage. </w:t>
      </w:r>
    </w:p>
    <w:p w14:paraId="628E9564" w14:textId="77777777" w:rsidR="007046F2" w:rsidRDefault="000023A6">
      <w:pPr>
        <w:jc w:val="both"/>
      </w:pPr>
      <w:r>
        <w:rPr>
          <w:rFonts w:ascii="Arial" w:hAnsi="Arial" w:cs="Arial"/>
        </w:rPr>
        <w:t>Le Code civil distingue le défaut de conformité et le vice caché (</w:t>
      </w:r>
      <w:hyperlink r:id="rId11" w:anchor="art1603" w:history="1">
        <w:r>
          <w:rPr>
            <w:rFonts w:ascii="Arial" w:hAnsi="Arial" w:cs="Arial"/>
          </w:rPr>
          <w:t>C. civ., art. 1603</w:t>
        </w:r>
      </w:hyperlink>
      <w:r>
        <w:rPr>
          <w:rFonts w:ascii="Arial" w:hAnsi="Arial" w:cs="Arial"/>
        </w:rPr>
        <w:t>), par nature différents : alors que le défaut de conformité provient d'une différence entre la chose convenue et la chose livrée trahissant l’inexécution, par le vendeur, de son obligation de délivrance, le vice caché concerne une chose qui, quoique conforme à celle convenue, se révèle atteinte d'un défaut affectant son usage normal</w:t>
      </w:r>
    </w:p>
    <w:p w14:paraId="13061B5C" w14:textId="77777777" w:rsidR="007046F2" w:rsidRDefault="000023A6">
      <w:pPr>
        <w:jc w:val="both"/>
      </w:pPr>
      <w:r>
        <w:rPr>
          <w:rFonts w:ascii="Arial" w:hAnsi="Arial" w:cs="Arial"/>
          <w:b/>
          <w:bCs/>
        </w:rPr>
        <w:t>Source</w:t>
      </w:r>
      <w:r>
        <w:rPr>
          <w:rFonts w:ascii="Arial" w:hAnsi="Arial" w:cs="Arial"/>
        </w:rPr>
        <w:t xml:space="preserve"> : multiple/modifiée par l’auteur </w:t>
      </w:r>
    </w:p>
    <w:p w14:paraId="6C545FD3" w14:textId="77777777" w:rsidR="007046F2" w:rsidRDefault="007046F2">
      <w:pPr>
        <w:rPr>
          <w:rFonts w:ascii="Arial" w:hAnsi="Arial" w:cs="Arial"/>
        </w:rPr>
      </w:pPr>
    </w:p>
    <w:p w14:paraId="53D0F960" w14:textId="77777777" w:rsidR="007046F2" w:rsidRDefault="000023A6">
      <w:pPr>
        <w:jc w:val="both"/>
        <w:rPr>
          <w:rFonts w:ascii="Arial" w:hAnsi="Arial" w:cs="Arial"/>
          <w:b/>
          <w:bCs/>
          <w:color w:val="FF0000"/>
        </w:rPr>
      </w:pPr>
      <w:r>
        <w:rPr>
          <w:rFonts w:ascii="Arial" w:hAnsi="Arial" w:cs="Arial"/>
          <w:b/>
          <w:bCs/>
          <w:color w:val="FF0000"/>
        </w:rPr>
        <w:lastRenderedPageBreak/>
        <w:t xml:space="preserve">DOCUMENT 3 – Les obligations précontractuelles d’information </w:t>
      </w:r>
    </w:p>
    <w:p w14:paraId="12FBBD1B" w14:textId="750E413F" w:rsidR="007046F2" w:rsidRDefault="000023A6">
      <w:pPr>
        <w:spacing w:after="0"/>
        <w:jc w:val="both"/>
        <w:rPr>
          <w:rFonts w:ascii="Arial" w:hAnsi="Arial" w:cs="Arial"/>
        </w:rPr>
      </w:pPr>
      <w:r>
        <w:rPr>
          <w:rFonts w:ascii="Arial" w:hAnsi="Arial" w:cs="Arial"/>
        </w:rPr>
        <w:t xml:space="preserve">En tant que professionnel, nombreuses sont les obligations que vous devez respecter. Si vous vendez des produits ou effectuez des prestations de services, l’obligation précontractuelle d’information s’impose. Dans un contrat de consommation, le consommateur est considéré comme la partie faible. Par conséquent, l’obligation précontractuelle d’information pèse sur le professionnel. L’intérêt de cette obligation est que le consommateur soit correctement informé avant de donner son consentement. L’obligation précontractuelle d’information s’impose avant la conclusion du contrat de consommation. </w:t>
      </w:r>
    </w:p>
    <w:p w14:paraId="5E92777E" w14:textId="77777777" w:rsidR="007046F2" w:rsidRDefault="007046F2">
      <w:pPr>
        <w:spacing w:after="0"/>
        <w:jc w:val="both"/>
        <w:rPr>
          <w:rFonts w:ascii="Arial" w:hAnsi="Arial" w:cs="Arial"/>
        </w:rPr>
      </w:pPr>
    </w:p>
    <w:p w14:paraId="33FF0FF0" w14:textId="77777777" w:rsidR="007046F2" w:rsidRDefault="000023A6">
      <w:pPr>
        <w:spacing w:after="0"/>
        <w:jc w:val="both"/>
        <w:rPr>
          <w:rFonts w:ascii="Arial" w:hAnsi="Arial" w:cs="Arial"/>
          <w:b/>
          <w:bCs/>
        </w:rPr>
      </w:pPr>
      <w:r>
        <w:rPr>
          <w:rFonts w:ascii="Arial" w:hAnsi="Arial" w:cs="Arial"/>
          <w:b/>
          <w:bCs/>
        </w:rPr>
        <w:t>Quelles sont les caractéristiques essentielles d’un produit ou d’un service ? </w:t>
      </w:r>
    </w:p>
    <w:p w14:paraId="5B134AFE" w14:textId="77777777" w:rsidR="007046F2" w:rsidRDefault="007046F2">
      <w:pPr>
        <w:spacing w:after="0"/>
        <w:jc w:val="both"/>
        <w:rPr>
          <w:rFonts w:ascii="Arial" w:hAnsi="Arial" w:cs="Arial"/>
        </w:rPr>
      </w:pPr>
    </w:p>
    <w:p w14:paraId="0E30E631" w14:textId="77777777" w:rsidR="007046F2" w:rsidRDefault="000023A6">
      <w:pPr>
        <w:numPr>
          <w:ilvl w:val="0"/>
          <w:numId w:val="4"/>
        </w:numPr>
        <w:spacing w:after="0"/>
        <w:jc w:val="both"/>
        <w:rPr>
          <w:rFonts w:ascii="Arial" w:hAnsi="Arial" w:cs="Arial"/>
        </w:rPr>
      </w:pPr>
      <w:r>
        <w:rPr>
          <w:rFonts w:ascii="Arial" w:hAnsi="Arial" w:cs="Arial"/>
        </w:rPr>
        <w:t>S’agissant des produits : la composition, le mode de fabrication, la composition, la date de fabrication, les propriétés du produit, la quantité… </w:t>
      </w:r>
    </w:p>
    <w:p w14:paraId="6AF95B75" w14:textId="77777777" w:rsidR="00FA2AA9" w:rsidRDefault="00FA2AA9" w:rsidP="00FA2AA9">
      <w:pPr>
        <w:spacing w:after="0"/>
        <w:ind w:left="720"/>
        <w:jc w:val="both"/>
        <w:rPr>
          <w:rFonts w:ascii="Arial" w:hAnsi="Arial" w:cs="Arial"/>
        </w:rPr>
      </w:pPr>
    </w:p>
    <w:p w14:paraId="43312A98" w14:textId="77777777" w:rsidR="007046F2" w:rsidRDefault="000023A6">
      <w:pPr>
        <w:numPr>
          <w:ilvl w:val="0"/>
          <w:numId w:val="4"/>
        </w:numPr>
        <w:spacing w:after="0"/>
        <w:jc w:val="both"/>
        <w:rPr>
          <w:rFonts w:ascii="Arial" w:hAnsi="Arial" w:cs="Arial"/>
        </w:rPr>
      </w:pPr>
      <w:r>
        <w:rPr>
          <w:rFonts w:ascii="Arial" w:hAnsi="Arial" w:cs="Arial"/>
        </w:rPr>
        <w:t>S’agissant des services : les résultats attendus, les contrôles et tests effectués, les risques d’utilisation… </w:t>
      </w:r>
    </w:p>
    <w:p w14:paraId="503BE6BB" w14:textId="77777777" w:rsidR="007046F2" w:rsidRDefault="007046F2">
      <w:pPr>
        <w:spacing w:after="0"/>
        <w:ind w:left="720"/>
        <w:jc w:val="both"/>
        <w:rPr>
          <w:rFonts w:ascii="Arial" w:hAnsi="Arial" w:cs="Arial"/>
        </w:rPr>
      </w:pPr>
    </w:p>
    <w:p w14:paraId="2BB4BCD5" w14:textId="77777777" w:rsidR="007046F2" w:rsidRDefault="000023A6">
      <w:pPr>
        <w:spacing w:after="0"/>
        <w:jc w:val="both"/>
        <w:rPr>
          <w:rFonts w:ascii="Arial" w:hAnsi="Arial" w:cs="Arial"/>
        </w:rPr>
      </w:pPr>
      <w:r>
        <w:rPr>
          <w:rFonts w:ascii="Arial" w:hAnsi="Arial" w:cs="Arial"/>
        </w:rPr>
        <w:t>L’obligation précontractuelle d’information sur le prix est essentielle. En effet, en matière de vente, l’article 1591 du Code civil prévoit que le prix doit être déterminé et désigné par les parties. Cette obligation permet que le consommateur donne son consentement de façon libre et éclairé.  En outre, le prix peut être notifié au consommateur par voie d’affichage, d’étiquetage ou encore par voie de marquage. La somme doit être apparente et elle doit être avec toutes taxes comprises. </w:t>
      </w:r>
    </w:p>
    <w:p w14:paraId="4FBCF006" w14:textId="77777777" w:rsidR="007046F2" w:rsidRDefault="007046F2">
      <w:pPr>
        <w:spacing w:after="0"/>
        <w:jc w:val="both"/>
        <w:rPr>
          <w:rFonts w:ascii="Arial" w:hAnsi="Arial" w:cs="Arial"/>
        </w:rPr>
      </w:pPr>
    </w:p>
    <w:p w14:paraId="1E50FC4F" w14:textId="77777777" w:rsidR="007046F2" w:rsidRDefault="000023A6">
      <w:pPr>
        <w:spacing w:after="0"/>
        <w:jc w:val="both"/>
      </w:pPr>
      <w:r>
        <w:rPr>
          <w:rFonts w:ascii="Arial" w:hAnsi="Arial" w:cs="Arial"/>
        </w:rPr>
        <w:t>Le professionnel est tenu d’informer le consommateur de l’existence des garanties légales qui lui sont offertes. L’obligation précontractuelle d’information s’étend également aux recours offerts au consommateur. Par conséquent, le professionnel doit informer le consommateur que celui-ci bénéficie des garanties commerciales, de la garantie légale de conformité ou encore d’un service après-vente. </w:t>
      </w:r>
    </w:p>
    <w:p w14:paraId="23EC2C48" w14:textId="77777777" w:rsidR="007046F2" w:rsidRDefault="007046F2">
      <w:pPr>
        <w:spacing w:after="0"/>
        <w:jc w:val="both"/>
        <w:rPr>
          <w:rFonts w:ascii="Arial" w:hAnsi="Arial" w:cs="Arial"/>
        </w:rPr>
      </w:pPr>
    </w:p>
    <w:p w14:paraId="1CF3BA0C" w14:textId="77777777" w:rsidR="00D27338" w:rsidRDefault="00D27338" w:rsidP="00D27338">
      <w:pPr>
        <w:spacing w:after="0"/>
        <w:jc w:val="both"/>
        <w:rPr>
          <w:rFonts w:ascii="Arial" w:hAnsi="Arial" w:cs="Arial"/>
        </w:rPr>
      </w:pPr>
      <w:r>
        <w:rPr>
          <w:rFonts w:ascii="Arial" w:hAnsi="Arial" w:cs="Arial"/>
        </w:rPr>
        <w:t xml:space="preserve">En matière de crédit à la consommation, le professionnel doit informer le consommateur qu’il doit rembourser son crédit ainsi que les intérêts qui courent.  </w:t>
      </w:r>
    </w:p>
    <w:p w14:paraId="4D351C06" w14:textId="77777777" w:rsidR="00D27338" w:rsidRDefault="00D27338" w:rsidP="00D27338">
      <w:pPr>
        <w:spacing w:after="0"/>
        <w:jc w:val="both"/>
        <w:rPr>
          <w:rFonts w:ascii="Arial" w:hAnsi="Arial" w:cs="Arial"/>
        </w:rPr>
      </w:pPr>
    </w:p>
    <w:p w14:paraId="366B87DF" w14:textId="77777777" w:rsidR="007046F2" w:rsidRDefault="000023A6">
      <w:pPr>
        <w:spacing w:after="0"/>
        <w:jc w:val="both"/>
        <w:rPr>
          <w:rFonts w:ascii="Arial" w:hAnsi="Arial" w:cs="Arial"/>
          <w:b/>
          <w:bCs/>
        </w:rPr>
      </w:pPr>
      <w:r>
        <w:rPr>
          <w:rFonts w:ascii="Arial" w:hAnsi="Arial" w:cs="Arial"/>
          <w:b/>
          <w:bCs/>
        </w:rPr>
        <w:t>Les sanctions encourues en cas d’inexécution </w:t>
      </w:r>
    </w:p>
    <w:p w14:paraId="564834F3" w14:textId="77777777" w:rsidR="007046F2" w:rsidRDefault="007046F2">
      <w:pPr>
        <w:spacing w:after="0"/>
        <w:jc w:val="both"/>
        <w:rPr>
          <w:rFonts w:ascii="Arial" w:hAnsi="Arial" w:cs="Arial"/>
        </w:rPr>
      </w:pPr>
    </w:p>
    <w:p w14:paraId="2B243E4C" w14:textId="70DFBF9E" w:rsidR="007046F2" w:rsidRDefault="000023A6">
      <w:pPr>
        <w:spacing w:after="0"/>
        <w:jc w:val="both"/>
        <w:rPr>
          <w:rFonts w:ascii="Arial" w:hAnsi="Arial" w:cs="Arial"/>
        </w:rPr>
      </w:pPr>
      <w:r>
        <w:rPr>
          <w:rFonts w:ascii="Arial" w:hAnsi="Arial" w:cs="Arial"/>
        </w:rPr>
        <w:t>Le professionnel qui ne respecterait pas cette obligation précontractuelle d’information s’exposerait à plusieurs types de sanctions</w:t>
      </w:r>
      <w:r w:rsidR="00EC2EB4">
        <w:rPr>
          <w:rFonts w:ascii="Arial" w:hAnsi="Arial" w:cs="Arial"/>
        </w:rPr>
        <w:t xml:space="preserve"> (civiles, pénales et administratives).</w:t>
      </w:r>
    </w:p>
    <w:p w14:paraId="2876B24B" w14:textId="77777777" w:rsidR="007046F2" w:rsidRDefault="007046F2">
      <w:pPr>
        <w:spacing w:after="0"/>
        <w:jc w:val="both"/>
        <w:rPr>
          <w:rFonts w:ascii="Arial" w:hAnsi="Arial" w:cs="Arial"/>
        </w:rPr>
      </w:pPr>
    </w:p>
    <w:p w14:paraId="3D934C14" w14:textId="77777777" w:rsidR="00EB6859" w:rsidRPr="00EB6859" w:rsidRDefault="000023A6" w:rsidP="00EB6859">
      <w:pPr>
        <w:pStyle w:val="Paragraphedeliste"/>
        <w:numPr>
          <w:ilvl w:val="0"/>
          <w:numId w:val="7"/>
        </w:numPr>
        <w:spacing w:after="0"/>
        <w:jc w:val="both"/>
        <w:rPr>
          <w:rFonts w:ascii="Arial" w:hAnsi="Arial" w:cs="Arial"/>
        </w:rPr>
      </w:pPr>
      <w:r w:rsidRPr="00EB6859">
        <w:rPr>
          <w:rFonts w:ascii="Arial" w:hAnsi="Arial" w:cs="Arial"/>
        </w:rPr>
        <w:t>Si le contrat de consommation est conclu sans que le consommateur n’ait correctement été informé, la nullité peut être encourue. En outre, s’il y a un défaut à déterminer le consentement du consommateur, l’annulation du contrat sera justifiée. </w:t>
      </w:r>
    </w:p>
    <w:p w14:paraId="163E594F" w14:textId="77777777" w:rsidR="00EB6859" w:rsidRPr="00EB6859" w:rsidRDefault="00EB6859" w:rsidP="00EB6859">
      <w:pPr>
        <w:pStyle w:val="Paragraphedeliste"/>
        <w:spacing w:after="0"/>
        <w:jc w:val="both"/>
        <w:rPr>
          <w:rFonts w:ascii="Arial" w:hAnsi="Arial" w:cs="Arial"/>
        </w:rPr>
      </w:pPr>
    </w:p>
    <w:p w14:paraId="71B62669" w14:textId="7AFC569A" w:rsidR="007046F2" w:rsidRPr="00EB6859" w:rsidRDefault="000023A6" w:rsidP="00EB6859">
      <w:pPr>
        <w:pStyle w:val="Paragraphedeliste"/>
        <w:numPr>
          <w:ilvl w:val="0"/>
          <w:numId w:val="7"/>
        </w:numPr>
        <w:spacing w:after="0"/>
        <w:jc w:val="both"/>
        <w:rPr>
          <w:rFonts w:ascii="Arial" w:hAnsi="Arial" w:cs="Arial"/>
        </w:rPr>
      </w:pPr>
      <w:r w:rsidRPr="00EB6859">
        <w:rPr>
          <w:rFonts w:ascii="Arial" w:hAnsi="Arial" w:cs="Arial"/>
        </w:rPr>
        <w:t>Si le professionnel tente de tromper ou trompe le consommateur sur les qualités essentielles du produit, il peut encourir une sanction pénale. Par ailleurs, l’article L.454-1 du Code de la consommation prévoit que le professionnel peut encourir trois ans d’emprisonnement et 300 000 € d’amende.</w:t>
      </w:r>
    </w:p>
    <w:p w14:paraId="4651849F" w14:textId="77777777" w:rsidR="00EB6859" w:rsidRPr="00EB6859" w:rsidRDefault="00EB6859" w:rsidP="00EB6859">
      <w:pPr>
        <w:pStyle w:val="Paragraphedeliste"/>
        <w:suppressAutoHyphens w:val="0"/>
        <w:autoSpaceDN/>
        <w:spacing w:after="0" w:line="240" w:lineRule="auto"/>
        <w:jc w:val="both"/>
        <w:textAlignment w:val="auto"/>
        <w:rPr>
          <w:rFonts w:ascii="Arial" w:eastAsia="Times New Roman" w:hAnsi="Arial" w:cs="Arial"/>
          <w:kern w:val="0"/>
          <w:lang w:eastAsia="fr-FR"/>
        </w:rPr>
      </w:pPr>
    </w:p>
    <w:p w14:paraId="39648F04" w14:textId="3E0614B2" w:rsidR="00EB6859" w:rsidRPr="00EB6859" w:rsidRDefault="00EC2EB4" w:rsidP="00EB6859">
      <w:pPr>
        <w:pStyle w:val="Paragraphedeliste"/>
        <w:numPr>
          <w:ilvl w:val="0"/>
          <w:numId w:val="7"/>
        </w:numPr>
        <w:suppressAutoHyphens w:val="0"/>
        <w:autoSpaceDN/>
        <w:spacing w:after="0" w:line="240" w:lineRule="auto"/>
        <w:jc w:val="both"/>
        <w:textAlignment w:val="auto"/>
        <w:rPr>
          <w:rFonts w:ascii="Arial" w:eastAsia="Times New Roman" w:hAnsi="Arial" w:cs="Arial"/>
          <w:kern w:val="0"/>
          <w:lang w:eastAsia="fr-FR"/>
        </w:rPr>
      </w:pPr>
      <w:r>
        <w:rPr>
          <w:rFonts w:ascii="Arial" w:eastAsia="Times New Roman" w:hAnsi="Arial" w:cs="Arial"/>
          <w:kern w:val="0"/>
          <w:lang w:eastAsia="fr-FR"/>
        </w:rPr>
        <w:t>Depuis 2014, des sanctions administratives sont prévues s</w:t>
      </w:r>
      <w:r w:rsidR="00EB6859" w:rsidRPr="00EB6859">
        <w:rPr>
          <w:rFonts w:ascii="Arial" w:eastAsia="Times New Roman" w:hAnsi="Arial" w:cs="Arial"/>
          <w:kern w:val="0"/>
          <w:lang w:eastAsia="fr-FR"/>
        </w:rPr>
        <w:t>i le professionnel ne renseigne pas le consommateur sur les garanties qui lui sont offertes</w:t>
      </w:r>
      <w:r>
        <w:rPr>
          <w:rFonts w:ascii="Arial" w:eastAsia="Times New Roman" w:hAnsi="Arial" w:cs="Arial"/>
          <w:kern w:val="0"/>
          <w:lang w:eastAsia="fr-FR"/>
        </w:rPr>
        <w:t>. I</w:t>
      </w:r>
      <w:r w:rsidR="00EB6859" w:rsidRPr="00EB6859">
        <w:rPr>
          <w:rFonts w:ascii="Arial" w:eastAsia="Times New Roman" w:hAnsi="Arial" w:cs="Arial"/>
          <w:kern w:val="0"/>
          <w:lang w:eastAsia="fr-FR"/>
        </w:rPr>
        <w:t>l peut encourir une amende jusqu’à 75 000 € (pour un professionnel, personne morale)</w:t>
      </w:r>
    </w:p>
    <w:p w14:paraId="73EC7D15" w14:textId="77777777" w:rsidR="007046F2" w:rsidRDefault="007046F2">
      <w:pPr>
        <w:spacing w:after="0"/>
        <w:jc w:val="both"/>
        <w:rPr>
          <w:rFonts w:ascii="Arial" w:hAnsi="Arial" w:cs="Arial"/>
          <w:sz w:val="18"/>
          <w:szCs w:val="18"/>
        </w:rPr>
      </w:pPr>
    </w:p>
    <w:p w14:paraId="5287810B" w14:textId="77777777" w:rsidR="007046F2" w:rsidRDefault="000023A6">
      <w:pPr>
        <w:spacing w:after="0"/>
        <w:jc w:val="both"/>
      </w:pPr>
      <w:r>
        <w:rPr>
          <w:rFonts w:ascii="Arial" w:hAnsi="Arial" w:cs="Arial"/>
          <w:b/>
          <w:bCs/>
        </w:rPr>
        <w:t>Source :</w:t>
      </w:r>
      <w:r>
        <w:rPr>
          <w:rFonts w:ascii="Arial" w:hAnsi="Arial" w:cs="Arial"/>
        </w:rPr>
        <w:t xml:space="preserve"> </w:t>
      </w:r>
      <w:hyperlink r:id="rId12" w:history="1">
        <w:r>
          <w:rPr>
            <w:rStyle w:val="Lienhypertexte"/>
            <w:rFonts w:ascii="Arial" w:hAnsi="Arial" w:cs="Arial"/>
          </w:rPr>
          <w:t>https://www.leblogdudirigeant.com/obligation-precontractuelle-information/</w:t>
        </w:r>
      </w:hyperlink>
      <w:r>
        <w:rPr>
          <w:rFonts w:ascii="Arial" w:hAnsi="Arial" w:cs="Arial"/>
        </w:rPr>
        <w:t xml:space="preserve"> </w:t>
      </w:r>
    </w:p>
    <w:p w14:paraId="336E6AEC" w14:textId="77777777" w:rsidR="007046F2" w:rsidRDefault="007046F2">
      <w:pPr>
        <w:jc w:val="both"/>
        <w:rPr>
          <w:rFonts w:ascii="Arial" w:hAnsi="Arial" w:cs="Arial"/>
          <w:i/>
          <w:iCs/>
          <w:sz w:val="18"/>
          <w:szCs w:val="18"/>
        </w:rPr>
      </w:pPr>
    </w:p>
    <w:p w14:paraId="2E08B71A" w14:textId="77777777" w:rsidR="007046F2" w:rsidRDefault="007046F2">
      <w:pPr>
        <w:jc w:val="both"/>
        <w:rPr>
          <w:rFonts w:ascii="Arial" w:hAnsi="Arial" w:cs="Arial"/>
          <w:i/>
          <w:iCs/>
          <w:sz w:val="18"/>
          <w:szCs w:val="18"/>
        </w:rPr>
      </w:pPr>
    </w:p>
    <w:p w14:paraId="6805C19E" w14:textId="77777777" w:rsidR="00527B3A" w:rsidRDefault="00527B3A">
      <w:pPr>
        <w:jc w:val="both"/>
        <w:rPr>
          <w:rFonts w:ascii="Arial" w:hAnsi="Arial" w:cs="Arial"/>
          <w:i/>
          <w:iCs/>
          <w:sz w:val="18"/>
          <w:szCs w:val="18"/>
        </w:rPr>
      </w:pPr>
    </w:p>
    <w:p w14:paraId="21423189" w14:textId="77777777" w:rsidR="007046F2" w:rsidRPr="00FA2AA9" w:rsidRDefault="000023A6">
      <w:pPr>
        <w:jc w:val="both"/>
        <w:rPr>
          <w:rFonts w:ascii="Arial" w:hAnsi="Arial" w:cs="Arial"/>
          <w:b/>
          <w:bCs/>
          <w:color w:val="FF0000"/>
        </w:rPr>
      </w:pPr>
      <w:r w:rsidRPr="00FA2AA9">
        <w:rPr>
          <w:rFonts w:ascii="Arial" w:hAnsi="Arial" w:cs="Arial"/>
          <w:b/>
          <w:bCs/>
          <w:color w:val="FF0000"/>
        </w:rPr>
        <w:lastRenderedPageBreak/>
        <w:t xml:space="preserve">DOCUMENT 4 - Protection des données personnelles : vos droits en tant que particuliers </w:t>
      </w:r>
    </w:p>
    <w:p w14:paraId="03731656" w14:textId="77777777" w:rsidR="007046F2" w:rsidRPr="00FA2AA9" w:rsidRDefault="000023A6">
      <w:pPr>
        <w:jc w:val="both"/>
        <w:rPr>
          <w:rFonts w:ascii="Arial" w:hAnsi="Arial" w:cs="Arial"/>
        </w:rPr>
      </w:pPr>
      <w:r w:rsidRPr="00FA2AA9">
        <w:rPr>
          <w:rFonts w:ascii="Arial" w:hAnsi="Arial" w:cs="Arial"/>
        </w:rPr>
        <w:t xml:space="preserve">L’entrée en vigueur du règlement général sur la protection des données (RGPD), le 25 mai 2018, a permis de renforcer vos droits en tant que citoyens quant à l'utilisation de vos données personnelles. </w:t>
      </w:r>
    </w:p>
    <w:p w14:paraId="712C923E" w14:textId="77777777" w:rsidR="007046F2" w:rsidRPr="00FA2AA9" w:rsidRDefault="000023A6">
      <w:pPr>
        <w:jc w:val="both"/>
        <w:rPr>
          <w:rFonts w:ascii="Arial" w:hAnsi="Arial" w:cs="Arial"/>
          <w:b/>
          <w:bCs/>
        </w:rPr>
      </w:pPr>
      <w:r w:rsidRPr="00FA2AA9">
        <w:rPr>
          <w:rFonts w:ascii="Arial" w:hAnsi="Arial" w:cs="Arial"/>
          <w:b/>
          <w:bCs/>
        </w:rPr>
        <w:t xml:space="preserve">Qu’est-ce qu’une « donnée personnelle » ? </w:t>
      </w:r>
    </w:p>
    <w:p w14:paraId="55F34CC8" w14:textId="77777777" w:rsidR="007046F2" w:rsidRPr="00FA2AA9" w:rsidRDefault="000023A6">
      <w:pPr>
        <w:jc w:val="both"/>
        <w:rPr>
          <w:rFonts w:ascii="Arial" w:hAnsi="Arial" w:cs="Arial"/>
        </w:rPr>
      </w:pPr>
      <w:r w:rsidRPr="00FA2AA9">
        <w:rPr>
          <w:rFonts w:ascii="Arial" w:hAnsi="Arial" w:cs="Arial"/>
        </w:rPr>
        <w:t>Une donnée à caractère personnel (couramment appelée « donnée personnelle ») correspond aux informations se rapportant à une personne physique identifiée ou identifiable. Il peut s’agir d’informations permettant de vous identifier directement ou indirectement, telles que votre nom, prénom, adresse électronique, numéro de téléphone, ou encore, votre numéro de carte d’identité.</w:t>
      </w:r>
    </w:p>
    <w:p w14:paraId="71D58306" w14:textId="77777777" w:rsidR="007046F2" w:rsidRPr="00FA2AA9" w:rsidRDefault="000023A6">
      <w:pPr>
        <w:jc w:val="both"/>
        <w:rPr>
          <w:rFonts w:ascii="Arial" w:hAnsi="Arial" w:cs="Arial"/>
          <w:b/>
          <w:bCs/>
        </w:rPr>
      </w:pPr>
      <w:r w:rsidRPr="00FA2AA9">
        <w:rPr>
          <w:rFonts w:ascii="Arial" w:hAnsi="Arial" w:cs="Arial"/>
          <w:b/>
          <w:bCs/>
        </w:rPr>
        <w:t>Traitement des données : de quoi parle-t-on ?</w:t>
      </w:r>
    </w:p>
    <w:p w14:paraId="27106C60" w14:textId="77777777" w:rsidR="007046F2" w:rsidRPr="00FA2AA9" w:rsidRDefault="000023A6">
      <w:pPr>
        <w:jc w:val="both"/>
        <w:rPr>
          <w:rFonts w:ascii="Arial" w:hAnsi="Arial" w:cs="Arial"/>
        </w:rPr>
      </w:pPr>
      <w:r w:rsidRPr="00FA2AA9">
        <w:rPr>
          <w:rFonts w:ascii="Arial" w:hAnsi="Arial" w:cs="Arial"/>
        </w:rPr>
        <w:t>Comme le rappelle la Commission nationale de l'Informatique et des Libertés (CNIL), le traitement de données personnelles consiste en « toute opération portant sur des données personnelles, quel que soit le procédé utilisé (collecte, enregistrement, organisation, conservation…) ». En France, la protection des données personnelles est encadrée par la loi du 6 janvier 1978 relative à l’informatique, aux fichiers et aux libertés. Celle-ci a été modifiée par la loi du 20 juin 2018 relative à la protection des données personnelles afin de l’adapter aux dispositions du Règlement général sur la protection des données (RGPD), applicable partout en Europe depuis le 25 mai 2018.</w:t>
      </w:r>
    </w:p>
    <w:p w14:paraId="3C1A67A2" w14:textId="77777777" w:rsidR="007046F2" w:rsidRPr="00FA2AA9" w:rsidRDefault="000023A6">
      <w:pPr>
        <w:jc w:val="both"/>
        <w:rPr>
          <w:rFonts w:ascii="Arial" w:hAnsi="Arial" w:cs="Arial"/>
        </w:rPr>
      </w:pPr>
      <w:r w:rsidRPr="00FA2AA9">
        <w:rPr>
          <w:rFonts w:ascii="Arial" w:hAnsi="Arial" w:cs="Arial"/>
          <w:noProof/>
          <w:lang w:eastAsia="fr-FR"/>
        </w:rPr>
        <w:drawing>
          <wp:anchor distT="0" distB="0" distL="114300" distR="114300" simplePos="0" relativeHeight="251661312" behindDoc="0" locked="0" layoutInCell="1" allowOverlap="1" wp14:anchorId="77605613" wp14:editId="45D31DA0">
            <wp:simplePos x="0" y="0"/>
            <wp:positionH relativeFrom="margin">
              <wp:posOffset>3190186</wp:posOffset>
            </wp:positionH>
            <wp:positionV relativeFrom="paragraph">
              <wp:posOffset>5193</wp:posOffset>
            </wp:positionV>
            <wp:extent cx="3158493" cy="1974217"/>
            <wp:effectExtent l="0" t="0" r="0" b="0"/>
            <wp:wrapSquare wrapText="bothSides"/>
            <wp:docPr id="4" name="Image 1" descr="RGPD | CH Carcasson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3158493" cy="1974217"/>
                    </a:xfrm>
                    <a:prstGeom prst="rect">
                      <a:avLst/>
                    </a:prstGeom>
                    <a:noFill/>
                    <a:ln>
                      <a:noFill/>
                      <a:prstDash/>
                    </a:ln>
                  </pic:spPr>
                </pic:pic>
              </a:graphicData>
            </a:graphic>
          </wp:anchor>
        </w:drawing>
      </w:r>
      <w:r w:rsidRPr="00FA2AA9">
        <w:rPr>
          <w:rFonts w:ascii="Arial" w:hAnsi="Arial" w:cs="Arial"/>
          <w:b/>
          <w:bCs/>
        </w:rPr>
        <w:t>Collecte des données : quels sont vos droits ?</w:t>
      </w:r>
    </w:p>
    <w:p w14:paraId="5C0673A3" w14:textId="77777777" w:rsidR="007046F2" w:rsidRPr="00FA2AA9" w:rsidRDefault="000023A6">
      <w:pPr>
        <w:pStyle w:val="Paragraphedeliste"/>
        <w:numPr>
          <w:ilvl w:val="0"/>
          <w:numId w:val="5"/>
        </w:numPr>
        <w:jc w:val="both"/>
        <w:rPr>
          <w:rFonts w:ascii="Arial" w:hAnsi="Arial" w:cs="Arial"/>
          <w:b/>
          <w:bCs/>
        </w:rPr>
      </w:pPr>
      <w:r w:rsidRPr="00FA2AA9">
        <w:rPr>
          <w:rFonts w:ascii="Arial" w:hAnsi="Arial" w:cs="Arial"/>
          <w:b/>
          <w:bCs/>
        </w:rPr>
        <w:t>Droit d'accès et de portabilité</w:t>
      </w:r>
    </w:p>
    <w:p w14:paraId="7E8F207C" w14:textId="77777777" w:rsidR="007046F2" w:rsidRPr="00FA2AA9" w:rsidRDefault="000023A6">
      <w:pPr>
        <w:jc w:val="both"/>
        <w:rPr>
          <w:rFonts w:ascii="Arial" w:hAnsi="Arial" w:cs="Arial"/>
        </w:rPr>
      </w:pPr>
      <w:r w:rsidRPr="00FA2AA9">
        <w:rPr>
          <w:rFonts w:ascii="Arial" w:hAnsi="Arial" w:cs="Arial"/>
        </w:rPr>
        <w:t>Si certaines de vos données personnelles sont collectées et traitées, vous pouvez demander l'accès à ces informations et connaître notamment les finalités de traitement. Vous pouvez aussi demander à récupérer vos données sous une forme exploitable pour votre usage personnel ou pour les transférer à un autre organisme.</w:t>
      </w:r>
    </w:p>
    <w:p w14:paraId="53DE20F1" w14:textId="77777777" w:rsidR="007046F2" w:rsidRPr="00FA2AA9" w:rsidRDefault="000023A6">
      <w:pPr>
        <w:pStyle w:val="Paragraphedeliste"/>
        <w:numPr>
          <w:ilvl w:val="0"/>
          <w:numId w:val="5"/>
        </w:numPr>
        <w:jc w:val="both"/>
        <w:rPr>
          <w:rFonts w:ascii="Arial" w:hAnsi="Arial" w:cs="Arial"/>
          <w:b/>
          <w:bCs/>
        </w:rPr>
      </w:pPr>
      <w:r w:rsidRPr="00FA2AA9">
        <w:rPr>
          <w:rFonts w:ascii="Arial" w:hAnsi="Arial" w:cs="Arial"/>
          <w:b/>
          <w:bCs/>
        </w:rPr>
        <w:t>Droit de rectification et d'opposition</w:t>
      </w:r>
    </w:p>
    <w:p w14:paraId="0BA2ACF9" w14:textId="77777777" w:rsidR="007046F2" w:rsidRPr="00FA2AA9" w:rsidRDefault="000023A6">
      <w:pPr>
        <w:jc w:val="both"/>
        <w:rPr>
          <w:rFonts w:ascii="Arial" w:hAnsi="Arial" w:cs="Arial"/>
        </w:rPr>
      </w:pPr>
      <w:r w:rsidRPr="00FA2AA9">
        <w:rPr>
          <w:rFonts w:ascii="Arial" w:hAnsi="Arial" w:cs="Arial"/>
        </w:rPr>
        <w:t>Toute personne dont les données sont collectées peut demander au responsable du traitement que soient « rectifiées, complétées, mises à jour, verrouillées ou effacées » les données à caractère personnel la concernant. Elle peut également s'opposer, sans frais, à ce que les données à caractère personnel la concernant fassent l’objet d’un traitement.</w:t>
      </w:r>
    </w:p>
    <w:p w14:paraId="7AD283C0" w14:textId="77777777" w:rsidR="007046F2" w:rsidRPr="00FA2AA9" w:rsidRDefault="000023A6">
      <w:pPr>
        <w:pStyle w:val="Paragraphedeliste"/>
        <w:numPr>
          <w:ilvl w:val="0"/>
          <w:numId w:val="5"/>
        </w:numPr>
        <w:jc w:val="both"/>
        <w:rPr>
          <w:rFonts w:ascii="Arial" w:hAnsi="Arial" w:cs="Arial"/>
          <w:b/>
          <w:bCs/>
        </w:rPr>
      </w:pPr>
      <w:r w:rsidRPr="00FA2AA9">
        <w:rPr>
          <w:rFonts w:ascii="Arial" w:hAnsi="Arial" w:cs="Arial"/>
          <w:b/>
          <w:bCs/>
        </w:rPr>
        <w:t>Droit à l'effacement</w:t>
      </w:r>
    </w:p>
    <w:p w14:paraId="79155EE6" w14:textId="77777777" w:rsidR="007046F2" w:rsidRPr="00FA2AA9" w:rsidRDefault="000023A6">
      <w:pPr>
        <w:jc w:val="both"/>
        <w:rPr>
          <w:rFonts w:ascii="Arial" w:hAnsi="Arial" w:cs="Arial"/>
        </w:rPr>
      </w:pPr>
      <w:r w:rsidRPr="00FA2AA9">
        <w:rPr>
          <w:rFonts w:ascii="Arial" w:hAnsi="Arial" w:cs="Arial"/>
        </w:rPr>
        <w:t xml:space="preserve">Vous disposez d’un « droit à l’oubli », ce qui signifie que vous pouvez exiger qu’une information vous concernant soit effacée si vous estimez qu’elle porte atteinte à votre intégrité ou pour d’autres motifs. </w:t>
      </w:r>
    </w:p>
    <w:p w14:paraId="43E68B06" w14:textId="77777777" w:rsidR="007046F2" w:rsidRPr="00FA2AA9" w:rsidRDefault="000023A6">
      <w:pPr>
        <w:pStyle w:val="Paragraphedeliste"/>
        <w:numPr>
          <w:ilvl w:val="0"/>
          <w:numId w:val="5"/>
        </w:numPr>
        <w:jc w:val="both"/>
        <w:rPr>
          <w:rFonts w:ascii="Arial" w:hAnsi="Arial" w:cs="Arial"/>
          <w:b/>
          <w:bCs/>
        </w:rPr>
      </w:pPr>
      <w:r w:rsidRPr="00FA2AA9">
        <w:rPr>
          <w:rFonts w:ascii="Arial" w:hAnsi="Arial" w:cs="Arial"/>
          <w:b/>
          <w:bCs/>
        </w:rPr>
        <w:t>Droit de recours et de réparation du dommage matériel ou moral</w:t>
      </w:r>
    </w:p>
    <w:p w14:paraId="7E704D8D" w14:textId="77777777" w:rsidR="007046F2" w:rsidRPr="00FA2AA9" w:rsidRDefault="000023A6">
      <w:pPr>
        <w:jc w:val="both"/>
        <w:rPr>
          <w:rFonts w:ascii="Arial" w:hAnsi="Arial" w:cs="Arial"/>
        </w:rPr>
      </w:pPr>
      <w:r w:rsidRPr="00FA2AA9">
        <w:rPr>
          <w:rFonts w:ascii="Arial" w:hAnsi="Arial" w:cs="Arial"/>
        </w:rPr>
        <w:t xml:space="preserve">En cas de dommage matériel ou moral lié à la violation du RGPD, vous disposez d'un droit à obtenir réparation du préjudice subi. </w:t>
      </w:r>
    </w:p>
    <w:p w14:paraId="355C1B66" w14:textId="77777777" w:rsidR="007046F2" w:rsidRPr="00FA2AA9" w:rsidRDefault="000023A6">
      <w:pPr>
        <w:jc w:val="both"/>
        <w:rPr>
          <w:rFonts w:ascii="Arial" w:hAnsi="Arial" w:cs="Arial"/>
        </w:rPr>
      </w:pPr>
      <w:r w:rsidRPr="00FA2AA9">
        <w:rPr>
          <w:rFonts w:ascii="Arial" w:hAnsi="Arial" w:cs="Arial"/>
        </w:rPr>
        <w:t>Vous pouvez déposer un recours auprès de la CNIL ou introduire une action de groupe, en faisant notamment appel aux associations de consommateurs nationales agréées.</w:t>
      </w:r>
    </w:p>
    <w:p w14:paraId="2993F797" w14:textId="77777777" w:rsidR="007046F2" w:rsidRPr="00FA2AA9" w:rsidRDefault="000023A6">
      <w:pPr>
        <w:jc w:val="both"/>
        <w:rPr>
          <w:rFonts w:ascii="Arial" w:hAnsi="Arial" w:cs="Arial"/>
        </w:rPr>
      </w:pPr>
      <w:r w:rsidRPr="00FA2AA9">
        <w:rPr>
          <w:rFonts w:ascii="Arial" w:hAnsi="Arial" w:cs="Arial"/>
          <w:b/>
          <w:bCs/>
        </w:rPr>
        <w:t>Source :</w:t>
      </w:r>
      <w:r w:rsidRPr="00FA2AA9">
        <w:rPr>
          <w:rFonts w:ascii="Arial" w:hAnsi="Arial" w:cs="Arial"/>
        </w:rPr>
        <w:t xml:space="preserve"> </w:t>
      </w:r>
      <w:hyperlink r:id="rId14" w:history="1">
        <w:r w:rsidRPr="00FA2AA9">
          <w:rPr>
            <w:rStyle w:val="Lienhypertexte"/>
            <w:rFonts w:ascii="Arial" w:hAnsi="Arial" w:cs="Arial"/>
          </w:rPr>
          <w:t>https://www.economie.gouv.fr/particuliers/protection-donnees-personnelles-droits-particuliers</w:t>
        </w:r>
      </w:hyperlink>
      <w:r w:rsidRPr="00FA2AA9">
        <w:rPr>
          <w:rFonts w:ascii="Arial" w:hAnsi="Arial" w:cs="Arial"/>
        </w:rPr>
        <w:t xml:space="preserve"> </w:t>
      </w:r>
    </w:p>
    <w:p w14:paraId="2C8E2609" w14:textId="77777777" w:rsidR="007046F2" w:rsidRDefault="007046F2">
      <w:pPr>
        <w:jc w:val="both"/>
        <w:rPr>
          <w:rFonts w:ascii="Arial" w:hAnsi="Arial" w:cs="Arial"/>
          <w:sz w:val="18"/>
          <w:szCs w:val="18"/>
        </w:rPr>
      </w:pPr>
    </w:p>
    <w:sectPr w:rsidR="007046F2">
      <w:footerReference w:type="default" r:id="rId15"/>
      <w:pgSz w:w="11906" w:h="16838"/>
      <w:pgMar w:top="567"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BCDD3" w14:textId="77777777" w:rsidR="00247C7C" w:rsidRDefault="00247C7C">
      <w:pPr>
        <w:spacing w:after="0" w:line="240" w:lineRule="auto"/>
      </w:pPr>
      <w:r>
        <w:separator/>
      </w:r>
    </w:p>
  </w:endnote>
  <w:endnote w:type="continuationSeparator" w:id="0">
    <w:p w14:paraId="607C9370" w14:textId="77777777" w:rsidR="00247C7C" w:rsidRDefault="0024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93E64" w14:textId="77777777" w:rsidR="00B3269C" w:rsidRDefault="000023A6">
    <w:pPr>
      <w:pStyle w:val="Pieddepage"/>
      <w:jc w:val="right"/>
    </w:pPr>
    <w:r>
      <w:rPr>
        <w:color w:val="4472C4"/>
        <w:sz w:val="20"/>
        <w:szCs w:val="20"/>
      </w:rPr>
      <w:t xml:space="preserve">SECONDE BACCALAUREAT PROFESSIONNEL – POINT ECONOMIQUE ET JURIDIQUE 6 – J. SENABRE p. </w:t>
    </w:r>
    <w:r>
      <w:rPr>
        <w:color w:val="4472C4"/>
        <w:sz w:val="20"/>
        <w:szCs w:val="20"/>
      </w:rPr>
      <w:fldChar w:fldCharType="begin"/>
    </w:r>
    <w:r>
      <w:rPr>
        <w:color w:val="4472C4"/>
        <w:sz w:val="20"/>
        <w:szCs w:val="20"/>
      </w:rPr>
      <w:instrText xml:space="preserve"> PAGE \* ARABIC </w:instrText>
    </w:r>
    <w:r>
      <w:rPr>
        <w:color w:val="4472C4"/>
        <w:sz w:val="20"/>
        <w:szCs w:val="20"/>
      </w:rPr>
      <w:fldChar w:fldCharType="separate"/>
    </w:r>
    <w:r w:rsidR="000F14F1">
      <w:rPr>
        <w:noProof/>
        <w:color w:val="4472C4"/>
        <w:sz w:val="20"/>
        <w:szCs w:val="20"/>
      </w:rPr>
      <w:t>1</w:t>
    </w:r>
    <w:r>
      <w:rPr>
        <w:color w:val="4472C4"/>
        <w:sz w:val="20"/>
        <w:szCs w:val="20"/>
      </w:rPr>
      <w:fldChar w:fldCharType="end"/>
    </w:r>
  </w:p>
  <w:p w14:paraId="40BB8FDE" w14:textId="77777777" w:rsidR="00B3269C" w:rsidRDefault="00B326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66925" w14:textId="77777777" w:rsidR="00247C7C" w:rsidRDefault="00247C7C">
      <w:pPr>
        <w:spacing w:after="0" w:line="240" w:lineRule="auto"/>
      </w:pPr>
      <w:r>
        <w:rPr>
          <w:color w:val="000000"/>
        </w:rPr>
        <w:separator/>
      </w:r>
    </w:p>
  </w:footnote>
  <w:footnote w:type="continuationSeparator" w:id="0">
    <w:p w14:paraId="5D26AA2B" w14:textId="77777777" w:rsidR="00247C7C" w:rsidRDefault="00247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12CA"/>
    <w:multiLevelType w:val="hybridMultilevel"/>
    <w:tmpl w:val="192280FE"/>
    <w:lvl w:ilvl="0" w:tplc="D6DA22F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31239A"/>
    <w:multiLevelType w:val="hybridMultilevel"/>
    <w:tmpl w:val="EAD8F056"/>
    <w:lvl w:ilvl="0" w:tplc="D6DA22F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DC7C85"/>
    <w:multiLevelType w:val="multilevel"/>
    <w:tmpl w:val="B1267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53E8C"/>
    <w:multiLevelType w:val="multilevel"/>
    <w:tmpl w:val="639272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D3B5B06"/>
    <w:multiLevelType w:val="multilevel"/>
    <w:tmpl w:val="7926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227AC2"/>
    <w:multiLevelType w:val="multilevel"/>
    <w:tmpl w:val="6E042E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BF31E1F"/>
    <w:multiLevelType w:val="multilevel"/>
    <w:tmpl w:val="798673D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48924FAE"/>
    <w:multiLevelType w:val="hybridMultilevel"/>
    <w:tmpl w:val="2DF46A02"/>
    <w:lvl w:ilvl="0" w:tplc="D6DA22F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0A16C3"/>
    <w:multiLevelType w:val="hybridMultilevel"/>
    <w:tmpl w:val="CF42A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D82262"/>
    <w:multiLevelType w:val="multilevel"/>
    <w:tmpl w:val="894CBB9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6D8970BF"/>
    <w:multiLevelType w:val="hybridMultilevel"/>
    <w:tmpl w:val="2F6EF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27287927">
    <w:abstractNumId w:val="5"/>
  </w:num>
  <w:num w:numId="2" w16cid:durableId="556548073">
    <w:abstractNumId w:val="9"/>
  </w:num>
  <w:num w:numId="3" w16cid:durableId="849563119">
    <w:abstractNumId w:val="2"/>
  </w:num>
  <w:num w:numId="4" w16cid:durableId="1138107013">
    <w:abstractNumId w:val="6"/>
  </w:num>
  <w:num w:numId="5" w16cid:durableId="1643728019">
    <w:abstractNumId w:val="3"/>
  </w:num>
  <w:num w:numId="6" w16cid:durableId="572785586">
    <w:abstractNumId w:val="10"/>
  </w:num>
  <w:num w:numId="7" w16cid:durableId="660472924">
    <w:abstractNumId w:val="8"/>
  </w:num>
  <w:num w:numId="8" w16cid:durableId="995107318">
    <w:abstractNumId w:val="4"/>
  </w:num>
  <w:num w:numId="9" w16cid:durableId="1809395627">
    <w:abstractNumId w:val="7"/>
  </w:num>
  <w:num w:numId="10" w16cid:durableId="258374740">
    <w:abstractNumId w:val="0"/>
  </w:num>
  <w:num w:numId="11" w16cid:durableId="394088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6F2"/>
    <w:rsid w:val="000023A6"/>
    <w:rsid w:val="000F14F1"/>
    <w:rsid w:val="00247C7C"/>
    <w:rsid w:val="00522AA5"/>
    <w:rsid w:val="00527B3A"/>
    <w:rsid w:val="007046F2"/>
    <w:rsid w:val="00711E95"/>
    <w:rsid w:val="007843D7"/>
    <w:rsid w:val="008B7E35"/>
    <w:rsid w:val="009B5027"/>
    <w:rsid w:val="00AB7E89"/>
    <w:rsid w:val="00B3269C"/>
    <w:rsid w:val="00B6293E"/>
    <w:rsid w:val="00B67689"/>
    <w:rsid w:val="00D27338"/>
    <w:rsid w:val="00D82A10"/>
    <w:rsid w:val="00DD6A7F"/>
    <w:rsid w:val="00EB6859"/>
    <w:rsid w:val="00EC2EB4"/>
    <w:rsid w:val="00ED1829"/>
    <w:rsid w:val="00FA2AA9"/>
    <w:rsid w:val="00FE0A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0A79D"/>
  <w15:docId w15:val="{BDF03A78-1140-4CAB-B2F6-B167B9B2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fr-FR"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itre1">
    <w:name w:val="heading 1"/>
    <w:basedOn w:val="Normal"/>
    <w:next w:val="Normal"/>
    <w:pPr>
      <w:keepNext/>
      <w:keepLines/>
      <w:spacing w:before="360" w:after="80"/>
      <w:outlineLvl w:val="0"/>
    </w:pPr>
    <w:rPr>
      <w:rFonts w:ascii="Calibri Light" w:eastAsia="Times New Roman" w:hAnsi="Calibri Light"/>
      <w:color w:val="2F5496"/>
      <w:sz w:val="40"/>
      <w:szCs w:val="40"/>
    </w:rPr>
  </w:style>
  <w:style w:type="paragraph" w:styleId="Titre2">
    <w:name w:val="heading 2"/>
    <w:basedOn w:val="Normal"/>
    <w:next w:val="Normal"/>
    <w:pPr>
      <w:keepNext/>
      <w:keepLines/>
      <w:spacing w:before="160" w:after="80"/>
      <w:outlineLvl w:val="1"/>
    </w:pPr>
    <w:rPr>
      <w:rFonts w:ascii="Calibri Light" w:eastAsia="Times New Roman" w:hAnsi="Calibri Light"/>
      <w:color w:val="2F5496"/>
      <w:sz w:val="32"/>
      <w:szCs w:val="32"/>
    </w:rPr>
  </w:style>
  <w:style w:type="paragraph" w:styleId="Titre3">
    <w:name w:val="heading 3"/>
    <w:basedOn w:val="Normal"/>
    <w:next w:val="Normal"/>
    <w:pPr>
      <w:keepNext/>
      <w:keepLines/>
      <w:spacing w:before="160" w:after="80"/>
      <w:outlineLvl w:val="2"/>
    </w:pPr>
    <w:rPr>
      <w:rFonts w:eastAsia="Times New Roman"/>
      <w:color w:val="2F5496"/>
      <w:sz w:val="28"/>
      <w:szCs w:val="28"/>
    </w:rPr>
  </w:style>
  <w:style w:type="paragraph" w:styleId="Titre4">
    <w:name w:val="heading 4"/>
    <w:basedOn w:val="Normal"/>
    <w:next w:val="Normal"/>
    <w:pPr>
      <w:keepNext/>
      <w:keepLines/>
      <w:spacing w:before="80" w:after="40"/>
      <w:outlineLvl w:val="3"/>
    </w:pPr>
    <w:rPr>
      <w:rFonts w:eastAsia="Times New Roman"/>
      <w:i/>
      <w:iCs/>
      <w:color w:val="2F5496"/>
    </w:rPr>
  </w:style>
  <w:style w:type="paragraph" w:styleId="Titre5">
    <w:name w:val="heading 5"/>
    <w:basedOn w:val="Normal"/>
    <w:next w:val="Normal"/>
    <w:pPr>
      <w:keepNext/>
      <w:keepLines/>
      <w:spacing w:before="80" w:after="40"/>
      <w:outlineLvl w:val="4"/>
    </w:pPr>
    <w:rPr>
      <w:rFonts w:eastAsia="Times New Roman"/>
      <w:color w:val="2F5496"/>
    </w:rPr>
  </w:style>
  <w:style w:type="paragraph" w:styleId="Titre6">
    <w:name w:val="heading 6"/>
    <w:basedOn w:val="Normal"/>
    <w:next w:val="Normal"/>
    <w:pPr>
      <w:keepNext/>
      <w:keepLines/>
      <w:spacing w:before="40" w:after="0"/>
      <w:outlineLvl w:val="5"/>
    </w:pPr>
    <w:rPr>
      <w:rFonts w:eastAsia="Times New Roman"/>
      <w:i/>
      <w:iCs/>
      <w:color w:val="595959"/>
    </w:rPr>
  </w:style>
  <w:style w:type="paragraph" w:styleId="Titre7">
    <w:name w:val="heading 7"/>
    <w:basedOn w:val="Normal"/>
    <w:next w:val="Normal"/>
    <w:pPr>
      <w:keepNext/>
      <w:keepLines/>
      <w:spacing w:before="40" w:after="0"/>
      <w:outlineLvl w:val="6"/>
    </w:pPr>
    <w:rPr>
      <w:rFonts w:eastAsia="Times New Roman"/>
      <w:color w:val="595959"/>
    </w:rPr>
  </w:style>
  <w:style w:type="paragraph" w:styleId="Titre8">
    <w:name w:val="heading 8"/>
    <w:basedOn w:val="Normal"/>
    <w:next w:val="Normal"/>
    <w:pPr>
      <w:keepNext/>
      <w:keepLines/>
      <w:spacing w:after="0"/>
      <w:outlineLvl w:val="7"/>
    </w:pPr>
    <w:rPr>
      <w:rFonts w:eastAsia="Times New Roman"/>
      <w:i/>
      <w:iCs/>
      <w:color w:val="272727"/>
    </w:rPr>
  </w:style>
  <w:style w:type="paragraph" w:styleId="Titre9">
    <w:name w:val="heading 9"/>
    <w:basedOn w:val="Normal"/>
    <w:next w:val="Normal"/>
    <w:pPr>
      <w:keepNext/>
      <w:keepLines/>
      <w:spacing w:after="0"/>
      <w:outlineLvl w:val="8"/>
    </w:pPr>
    <w:rPr>
      <w:rFonts w:eastAsia="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Calibri Light" w:eastAsia="Times New Roman" w:hAnsi="Calibri Light" w:cs="Times New Roman"/>
      <w:color w:val="2F5496"/>
      <w:sz w:val="40"/>
      <w:szCs w:val="40"/>
    </w:rPr>
  </w:style>
  <w:style w:type="character" w:customStyle="1" w:styleId="Titre2Car">
    <w:name w:val="Titre 2 Car"/>
    <w:basedOn w:val="Policepardfaut"/>
    <w:rPr>
      <w:rFonts w:ascii="Calibri Light" w:eastAsia="Times New Roman" w:hAnsi="Calibri Light" w:cs="Times New Roman"/>
      <w:color w:val="2F5496"/>
      <w:sz w:val="32"/>
      <w:szCs w:val="32"/>
    </w:rPr>
  </w:style>
  <w:style w:type="character" w:customStyle="1" w:styleId="Titre3Car">
    <w:name w:val="Titre 3 Car"/>
    <w:basedOn w:val="Policepardfaut"/>
    <w:rPr>
      <w:rFonts w:eastAsia="Times New Roman" w:cs="Times New Roman"/>
      <w:color w:val="2F5496"/>
      <w:sz w:val="28"/>
      <w:szCs w:val="28"/>
    </w:rPr>
  </w:style>
  <w:style w:type="character" w:customStyle="1" w:styleId="Titre4Car">
    <w:name w:val="Titre 4 Car"/>
    <w:basedOn w:val="Policepardfaut"/>
    <w:rPr>
      <w:rFonts w:eastAsia="Times New Roman" w:cs="Times New Roman"/>
      <w:i/>
      <w:iCs/>
      <w:color w:val="2F5496"/>
    </w:rPr>
  </w:style>
  <w:style w:type="character" w:customStyle="1" w:styleId="Titre5Car">
    <w:name w:val="Titre 5 Car"/>
    <w:basedOn w:val="Policepardfaut"/>
    <w:rPr>
      <w:rFonts w:eastAsia="Times New Roman" w:cs="Times New Roman"/>
      <w:color w:val="2F5496"/>
    </w:rPr>
  </w:style>
  <w:style w:type="character" w:customStyle="1" w:styleId="Titre6Car">
    <w:name w:val="Titre 6 Car"/>
    <w:basedOn w:val="Policepardfaut"/>
    <w:rPr>
      <w:rFonts w:eastAsia="Times New Roman" w:cs="Times New Roman"/>
      <w:i/>
      <w:iCs/>
      <w:color w:val="595959"/>
    </w:rPr>
  </w:style>
  <w:style w:type="character" w:customStyle="1" w:styleId="Titre7Car">
    <w:name w:val="Titre 7 Car"/>
    <w:basedOn w:val="Policepardfaut"/>
    <w:rPr>
      <w:rFonts w:eastAsia="Times New Roman" w:cs="Times New Roman"/>
      <w:color w:val="595959"/>
    </w:rPr>
  </w:style>
  <w:style w:type="character" w:customStyle="1" w:styleId="Titre8Car">
    <w:name w:val="Titre 8 Car"/>
    <w:basedOn w:val="Policepardfaut"/>
    <w:rPr>
      <w:rFonts w:eastAsia="Times New Roman" w:cs="Times New Roman"/>
      <w:i/>
      <w:iCs/>
      <w:color w:val="272727"/>
    </w:rPr>
  </w:style>
  <w:style w:type="character" w:customStyle="1" w:styleId="Titre9Car">
    <w:name w:val="Titre 9 Car"/>
    <w:basedOn w:val="Policepardfaut"/>
    <w:rPr>
      <w:rFonts w:eastAsia="Times New Roman" w:cs="Times New Roman"/>
      <w:color w:val="272727"/>
    </w:rPr>
  </w:style>
  <w:style w:type="paragraph" w:styleId="Titre">
    <w:name w:val="Title"/>
    <w:basedOn w:val="Normal"/>
    <w:next w:val="Normal"/>
    <w:pPr>
      <w:spacing w:after="80" w:line="240" w:lineRule="auto"/>
    </w:pPr>
    <w:rPr>
      <w:rFonts w:ascii="Calibri Light" w:eastAsia="Times New Roman" w:hAnsi="Calibri Light"/>
      <w:spacing w:val="-10"/>
      <w:sz w:val="56"/>
      <w:szCs w:val="56"/>
    </w:rPr>
  </w:style>
  <w:style w:type="character" w:customStyle="1" w:styleId="TitreCar">
    <w:name w:val="Titre Car"/>
    <w:basedOn w:val="Policepardfaut"/>
    <w:rPr>
      <w:rFonts w:ascii="Calibri Light" w:eastAsia="Times New Roman" w:hAnsi="Calibri Light" w:cs="Times New Roman"/>
      <w:spacing w:val="-10"/>
      <w:kern w:val="3"/>
      <w:sz w:val="56"/>
      <w:szCs w:val="56"/>
    </w:rPr>
  </w:style>
  <w:style w:type="paragraph" w:styleId="Sous-titre">
    <w:name w:val="Subtitle"/>
    <w:basedOn w:val="Normal"/>
    <w:next w:val="Normal"/>
    <w:rPr>
      <w:rFonts w:eastAsia="Times New Roman"/>
      <w:color w:val="595959"/>
      <w:spacing w:val="15"/>
      <w:sz w:val="28"/>
      <w:szCs w:val="28"/>
    </w:rPr>
  </w:style>
  <w:style w:type="character" w:customStyle="1" w:styleId="Sous-titreCar">
    <w:name w:val="Sous-titre Car"/>
    <w:basedOn w:val="Policepardfaut"/>
    <w:rPr>
      <w:rFonts w:eastAsia="Times New Roman" w:cs="Times New Roman"/>
      <w:color w:val="595959"/>
      <w:spacing w:val="15"/>
      <w:sz w:val="28"/>
      <w:szCs w:val="28"/>
    </w:rPr>
  </w:style>
  <w:style w:type="paragraph" w:styleId="Citation">
    <w:name w:val="Quote"/>
    <w:basedOn w:val="Normal"/>
    <w:next w:val="Normal"/>
    <w:pPr>
      <w:spacing w:before="160"/>
      <w:jc w:val="center"/>
    </w:pPr>
    <w:rPr>
      <w:i/>
      <w:iCs/>
      <w:color w:val="404040"/>
    </w:rPr>
  </w:style>
  <w:style w:type="character" w:customStyle="1" w:styleId="CitationCar">
    <w:name w:val="Citation Car"/>
    <w:basedOn w:val="Policepardfaut"/>
    <w:rPr>
      <w:i/>
      <w:iCs/>
      <w:color w:val="404040"/>
    </w:rPr>
  </w:style>
  <w:style w:type="paragraph" w:styleId="Paragraphedeliste">
    <w:name w:val="List Paragraph"/>
    <w:basedOn w:val="Normal"/>
    <w:pPr>
      <w:ind w:left="720"/>
    </w:pPr>
  </w:style>
  <w:style w:type="character" w:customStyle="1" w:styleId="Accentuationintense1">
    <w:name w:val="Accentuation intense1"/>
    <w:basedOn w:val="Policepardfaut"/>
    <w:rPr>
      <w:i/>
      <w:iCs/>
      <w:color w:val="2F5496"/>
    </w:rPr>
  </w:style>
  <w:style w:type="paragraph" w:styleId="Citationintense">
    <w:name w:val="Intense Quote"/>
    <w:basedOn w:val="Normal"/>
    <w:next w:val="Normal"/>
    <w:pPr>
      <w:pBdr>
        <w:top w:val="single" w:sz="4" w:space="10" w:color="2F5496"/>
        <w:bottom w:val="single" w:sz="4" w:space="10" w:color="2F5496"/>
      </w:pBdr>
      <w:spacing w:before="360" w:after="360"/>
      <w:ind w:left="864" w:right="864"/>
      <w:jc w:val="center"/>
    </w:pPr>
    <w:rPr>
      <w:i/>
      <w:iCs/>
      <w:color w:val="2F5496"/>
    </w:rPr>
  </w:style>
  <w:style w:type="character" w:customStyle="1" w:styleId="CitationintenseCar">
    <w:name w:val="Citation intense Car"/>
    <w:basedOn w:val="Policepardfaut"/>
    <w:rPr>
      <w:i/>
      <w:iCs/>
      <w:color w:val="2F5496"/>
    </w:rPr>
  </w:style>
  <w:style w:type="character" w:styleId="Rfrenceintense">
    <w:name w:val="Intense Reference"/>
    <w:basedOn w:val="Policepardfaut"/>
    <w:rPr>
      <w:b/>
      <w:bCs/>
      <w:smallCaps/>
      <w:color w:val="2F5496"/>
      <w:spacing w:val="5"/>
    </w:rPr>
  </w:style>
  <w:style w:type="character" w:styleId="Lienhypertexte">
    <w:name w:val="Hyperlink"/>
    <w:basedOn w:val="Policepardfaut"/>
    <w:rPr>
      <w:color w:val="0563C1"/>
      <w:u w:val="single"/>
    </w:rPr>
  </w:style>
  <w:style w:type="character" w:customStyle="1" w:styleId="Mentionnonrsolue1">
    <w:name w:val="Mention non résolue1"/>
    <w:basedOn w:val="Policepardfaut"/>
    <w:rPr>
      <w:color w:val="605E5C"/>
      <w:shd w:val="clear" w:color="auto" w:fill="E1DFDD"/>
    </w:rPr>
  </w:style>
  <w:style w:type="paragraph" w:styleId="NormalWeb">
    <w:name w:val="Normal (Web)"/>
    <w:basedOn w:val="Normal"/>
    <w:uiPriority w:val="99"/>
    <w:pPr>
      <w:spacing w:line="242" w:lineRule="auto"/>
    </w:pPr>
    <w:rPr>
      <w:rFonts w:ascii="Times New Roman" w:hAnsi="Times New Roman"/>
      <w:sz w:val="24"/>
      <w:szCs w:val="24"/>
    </w:rPr>
  </w:style>
  <w:style w:type="character" w:styleId="lev">
    <w:name w:val="Strong"/>
    <w:basedOn w:val="Policepardfaut"/>
    <w:rPr>
      <w:b/>
      <w:bCs/>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paragraph" w:styleId="Textedebulles">
    <w:name w:val="Balloon Text"/>
    <w:basedOn w:val="Normal"/>
    <w:link w:val="TextedebullesCar"/>
    <w:uiPriority w:val="99"/>
    <w:semiHidden/>
    <w:unhideWhenUsed/>
    <w:rsid w:val="000F14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14F1"/>
    <w:rPr>
      <w:rFonts w:ascii="Segoe UI" w:hAnsi="Segoe UI" w:cs="Segoe UI"/>
      <w:sz w:val="18"/>
      <w:szCs w:val="18"/>
    </w:rPr>
  </w:style>
  <w:style w:type="character" w:styleId="Lienhypertextesuivivisit">
    <w:name w:val="FollowedHyperlink"/>
    <w:basedOn w:val="Policepardfaut"/>
    <w:uiPriority w:val="99"/>
    <w:semiHidden/>
    <w:unhideWhenUsed/>
    <w:rsid w:val="00EB6859"/>
    <w:rPr>
      <w:color w:val="954F72" w:themeColor="followedHyperlink"/>
      <w:u w:val="single"/>
    </w:rPr>
  </w:style>
  <w:style w:type="character" w:customStyle="1" w:styleId="apple-converted-space">
    <w:name w:val="apple-converted-space"/>
    <w:basedOn w:val="Policepardfaut"/>
    <w:rsid w:val="00EB6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768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blogdudirigeant.com/obligation-precontractuelle-inform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tu.dalloz-etudiant.fr/a-la-une/article/delivrance-conforme-et-vices-caches-rappel-de-la-distinction/h/28a857c514359058623255dc6e326795.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conomie.gouv.fr/particuliers/protection-donnees-personnelles-droits-particulie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255DB-AD2D-4CF4-80F6-6B956676B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1986</Words>
  <Characters>10926</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dc:creator>
  <dc:description/>
  <cp:lastModifiedBy>JEREMY</cp:lastModifiedBy>
  <cp:revision>4</cp:revision>
  <cp:lastPrinted>2025-03-31T07:47:00Z</cp:lastPrinted>
  <dcterms:created xsi:type="dcterms:W3CDTF">2025-03-31T15:53:00Z</dcterms:created>
  <dcterms:modified xsi:type="dcterms:W3CDTF">2025-03-31T15:56:00Z</dcterms:modified>
</cp:coreProperties>
</file>