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764"/>
      </w:tblGrid>
      <w:tr w:rsidR="00DC65F6" w:rsidRPr="00DC65F6" w14:paraId="6A4286B0" w14:textId="77777777" w:rsidTr="0007256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B177" w14:textId="77777777" w:rsidR="00DC65F6" w:rsidRPr="00DC65F6" w:rsidRDefault="00DC65F6" w:rsidP="00DC65F6">
            <w:pPr>
              <w:suppressAutoHyphens/>
              <w:autoSpaceDN w:val="0"/>
              <w:spacing w:after="0" w:line="244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C65F6">
              <w:rPr>
                <w:rFonts w:ascii="Arial" w:eastAsia="Calibri" w:hAnsi="Arial" w:cs="Arial"/>
                <w:b/>
                <w:bCs/>
                <w:color w:val="006666"/>
                <w:kern w:val="3"/>
                <w:sz w:val="24"/>
                <w:szCs w:val="24"/>
              </w:rPr>
              <w:t>Seconde baccalauréat professionnel</w:t>
            </w:r>
          </w:p>
          <w:p w14:paraId="6C5B09B4" w14:textId="77777777" w:rsidR="00DC65F6" w:rsidRPr="00DC65F6" w:rsidRDefault="00DC65F6" w:rsidP="00DC65F6">
            <w:pPr>
              <w:suppressAutoHyphens/>
              <w:autoSpaceDN w:val="0"/>
              <w:spacing w:after="0" w:line="244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C65F6">
              <w:rPr>
                <w:rFonts w:ascii="Arial" w:eastAsia="Calibri" w:hAnsi="Arial" w:cs="Arial"/>
                <w:b/>
                <w:bCs/>
                <w:color w:val="006666"/>
                <w:kern w:val="3"/>
                <w:sz w:val="24"/>
                <w:szCs w:val="24"/>
              </w:rPr>
              <w:t>GATL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38BF" w14:textId="77777777" w:rsidR="00DC65F6" w:rsidRDefault="00DC65F6" w:rsidP="00DC65F6">
            <w:pPr>
              <w:suppressAutoHyphens/>
              <w:autoSpaceDN w:val="0"/>
              <w:spacing w:after="0" w:line="244" w:lineRule="auto"/>
              <w:jc w:val="center"/>
              <w:rPr>
                <w:rFonts w:ascii="Arial" w:eastAsia="Calibri" w:hAnsi="Arial" w:cs="Arial"/>
                <w:b/>
                <w:bCs/>
                <w:color w:val="006666"/>
                <w:kern w:val="3"/>
                <w:sz w:val="24"/>
                <w:szCs w:val="24"/>
              </w:rPr>
            </w:pPr>
            <w:r w:rsidRPr="00DC65F6">
              <w:rPr>
                <w:rFonts w:ascii="Arial" w:eastAsia="Calibri" w:hAnsi="Arial" w:cs="Arial"/>
                <w:b/>
                <w:bCs/>
                <w:color w:val="006666"/>
                <w:kern w:val="3"/>
                <w:sz w:val="24"/>
                <w:szCs w:val="24"/>
              </w:rPr>
              <w:t xml:space="preserve">Point économique et juridique </w:t>
            </w:r>
            <w:r>
              <w:rPr>
                <w:rFonts w:ascii="Arial" w:eastAsia="Calibri" w:hAnsi="Arial" w:cs="Arial"/>
                <w:b/>
                <w:bCs/>
                <w:color w:val="006666"/>
                <w:kern w:val="3"/>
                <w:sz w:val="24"/>
                <w:szCs w:val="24"/>
              </w:rPr>
              <w:t>6</w:t>
            </w:r>
          </w:p>
          <w:p w14:paraId="66DDE90D" w14:textId="77777777" w:rsidR="00DC65F6" w:rsidRPr="00DC65F6" w:rsidRDefault="00DC65F6" w:rsidP="00DC65F6">
            <w:pPr>
              <w:suppressAutoHyphens/>
              <w:autoSpaceDN w:val="0"/>
              <w:spacing w:after="0" w:line="244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6666"/>
                <w:kern w:val="3"/>
                <w:sz w:val="24"/>
                <w:szCs w:val="24"/>
              </w:rPr>
              <w:t>ÉVALUATION</w:t>
            </w:r>
          </w:p>
        </w:tc>
      </w:tr>
      <w:tr w:rsidR="00DC65F6" w:rsidRPr="00DC65F6" w14:paraId="63713351" w14:textId="77777777" w:rsidTr="00072567">
        <w:trPr>
          <w:trHeight w:val="955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0E84" w14:textId="77777777" w:rsidR="00DC65F6" w:rsidRDefault="00DC65F6" w:rsidP="00DC65F6">
            <w:pPr>
              <w:suppressAutoHyphens/>
              <w:autoSpaceDN w:val="0"/>
              <w:spacing w:after="0" w:line="244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DC65F6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 xml:space="preserve">Question : comment </w:t>
            </w: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protéger le consommateur dans son acte d’achat ?</w:t>
            </w:r>
          </w:p>
          <w:p w14:paraId="55D7AC1A" w14:textId="77777777" w:rsidR="00DC65F6" w:rsidRDefault="00DC65F6" w:rsidP="00DC65F6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Repérer les droits et les obligations du vendeur et du consommateur</w:t>
            </w:r>
          </w:p>
          <w:p w14:paraId="4DF24C98" w14:textId="77777777" w:rsidR="00DC65F6" w:rsidRPr="00DC65F6" w:rsidRDefault="00DC65F6" w:rsidP="00DC65F6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Présenter les enjeux de la protection des données personnelles </w:t>
            </w:r>
          </w:p>
        </w:tc>
      </w:tr>
      <w:tr w:rsidR="00DC65F6" w:rsidRPr="00DC65F6" w14:paraId="5D40CADD" w14:textId="77777777" w:rsidTr="002431F4">
        <w:trPr>
          <w:trHeight w:val="287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8AF0" w14:textId="6F23F90C" w:rsidR="00DC65F6" w:rsidRPr="00DC65F6" w:rsidRDefault="00DC65F6" w:rsidP="00DC65F6">
            <w:pPr>
              <w:suppressAutoHyphens/>
              <w:autoSpaceDN w:val="0"/>
              <w:spacing w:after="0" w:line="244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NOM :</w:t>
            </w: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ab/>
            </w:r>
            <w:r w:rsidR="002431F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ab/>
              <w:t>PR</w:t>
            </w:r>
            <w:r w:rsidR="00D80728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É</w:t>
            </w: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NOM :</w:t>
            </w:r>
          </w:p>
        </w:tc>
      </w:tr>
      <w:tr w:rsidR="00DC65F6" w:rsidRPr="00DC65F6" w14:paraId="130AD2FA" w14:textId="77777777" w:rsidTr="00072567">
        <w:trPr>
          <w:trHeight w:val="955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6A89" w14:textId="77777777" w:rsidR="00DC65F6" w:rsidRDefault="00DC65F6" w:rsidP="00DC65F6">
            <w:pPr>
              <w:suppressAutoHyphens/>
              <w:autoSpaceDN w:val="0"/>
              <w:spacing w:after="0" w:line="244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 xml:space="preserve">NOTE SUR 20 ET OBSERVATIONS </w:t>
            </w:r>
          </w:p>
        </w:tc>
      </w:tr>
    </w:tbl>
    <w:p w14:paraId="214C860E" w14:textId="77777777" w:rsidR="00EE554D" w:rsidRPr="00DC65F6" w:rsidRDefault="00DC65F6" w:rsidP="00EE554D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>
        <w:rPr>
          <w:rFonts w:ascii="Arial" w:eastAsia="Times New Roman" w:hAnsi="Arial" w:cs="Arial"/>
          <w:bCs/>
          <w:kern w:val="36"/>
          <w:szCs w:val="48"/>
          <w:lang w:eastAsia="fr-FR"/>
        </w:rPr>
        <w:t>À</w:t>
      </w:r>
      <w:r w:rsidR="00EE554D"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 xml:space="preserve"> partir de vos connaissances et du </w:t>
      </w:r>
      <w:r w:rsidR="00EE554D" w:rsidRPr="00DC65F6">
        <w:rPr>
          <w:rFonts w:ascii="Arial" w:eastAsia="Times New Roman" w:hAnsi="Arial" w:cs="Arial"/>
          <w:b/>
          <w:bCs/>
          <w:color w:val="FF0000"/>
          <w:kern w:val="36"/>
          <w:szCs w:val="48"/>
          <w:lang w:eastAsia="fr-FR"/>
        </w:rPr>
        <w:t>DOCUMENT 1</w:t>
      </w:r>
      <w:r w:rsidR="00EE554D"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, répondez aux questions suivantes.</w:t>
      </w:r>
    </w:p>
    <w:p w14:paraId="0FBF9AA2" w14:textId="77777777" w:rsidR="00EE554D" w:rsidRDefault="00EE554D" w:rsidP="00EE554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Définissez la notion de données personnelles.</w:t>
      </w:r>
    </w:p>
    <w:p w14:paraId="0CD8B036" w14:textId="77777777" w:rsidR="002431F4" w:rsidRP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6DB700B8" w14:textId="77777777" w:rsidR="00C87F8E" w:rsidRDefault="00EE554D" w:rsidP="00EE554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Donnez trois exemples de données personnelles pouvant être collectées.</w:t>
      </w:r>
      <w:r w:rsidR="00C87F8E">
        <w:rPr>
          <w:rFonts w:ascii="Arial" w:eastAsia="Times New Roman" w:hAnsi="Arial" w:cs="Arial"/>
          <w:bCs/>
          <w:kern w:val="36"/>
          <w:szCs w:val="48"/>
          <w:lang w:eastAsia="fr-FR"/>
        </w:rPr>
        <w:t xml:space="preserve"> </w:t>
      </w:r>
    </w:p>
    <w:p w14:paraId="1B292C4A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0C479286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5541014C" w14:textId="6A7810CB" w:rsidR="00A017FC" w:rsidRDefault="00EE554D" w:rsidP="00EE554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 xml:space="preserve">Identifiez </w:t>
      </w:r>
      <w:r w:rsidR="00A017FC">
        <w:rPr>
          <w:rFonts w:ascii="Arial" w:eastAsia="Times New Roman" w:hAnsi="Arial" w:cs="Arial"/>
          <w:bCs/>
          <w:kern w:val="36"/>
          <w:szCs w:val="48"/>
          <w:lang w:eastAsia="fr-FR"/>
        </w:rPr>
        <w:t>les raisons pour lesquelles l’entreprise a été sanctionnée.</w:t>
      </w:r>
    </w:p>
    <w:p w14:paraId="3AAD30F7" w14:textId="77777777" w:rsid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05841E9D" w14:textId="77777777" w:rsid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194E2D30" w14:textId="77777777" w:rsidR="002431F4" w:rsidRP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7C9C426A" w14:textId="77777777" w:rsidR="00EE554D" w:rsidRDefault="00EE554D" w:rsidP="00CF58D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Précisez l’organisme qui a sanctionné l’entreprise.</w:t>
      </w:r>
    </w:p>
    <w:p w14:paraId="14DE001B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35F49842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2C436A68" w14:textId="3252283A" w:rsidR="00EE554D" w:rsidRDefault="00EE554D" w:rsidP="00CF58D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Indiquez la nature de la sanction prononcée.</w:t>
      </w:r>
    </w:p>
    <w:p w14:paraId="5494F1C7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7FF25CC0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446EC89F" w14:textId="451F15D2" w:rsidR="00EE554D" w:rsidRDefault="00EE554D" w:rsidP="00EE554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Identifiez le texte réglementaire qui encadre l’exploitation des données personnelles.</w:t>
      </w:r>
    </w:p>
    <w:p w14:paraId="7AAF6E64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06F76DF3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25C4E6C0" w14:textId="06AB74E0" w:rsidR="00EE554D" w:rsidRDefault="00EE554D" w:rsidP="00EE554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 xml:space="preserve">Expliquez les enjeux de cette décision pour le secteur des crypto monnaies. </w:t>
      </w:r>
    </w:p>
    <w:p w14:paraId="3F76DFFB" w14:textId="77777777" w:rsidR="002431F4" w:rsidRDefault="002431F4" w:rsidP="00D5007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color w:val="FF0000"/>
          <w:kern w:val="36"/>
          <w:szCs w:val="48"/>
          <w:lang w:eastAsia="fr-FR"/>
        </w:rPr>
      </w:pPr>
    </w:p>
    <w:p w14:paraId="7166F0F6" w14:textId="77777777" w:rsidR="002431F4" w:rsidRDefault="002431F4" w:rsidP="00D5007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color w:val="FF0000"/>
          <w:kern w:val="36"/>
          <w:szCs w:val="48"/>
          <w:lang w:eastAsia="fr-FR"/>
        </w:rPr>
      </w:pPr>
    </w:p>
    <w:p w14:paraId="7B7812B6" w14:textId="77777777" w:rsidR="002431F4" w:rsidRDefault="002431F4" w:rsidP="00D5007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color w:val="FF0000"/>
          <w:kern w:val="36"/>
          <w:szCs w:val="48"/>
          <w:lang w:eastAsia="fr-FR"/>
        </w:rPr>
      </w:pPr>
    </w:p>
    <w:p w14:paraId="0DD50AE7" w14:textId="1537099A" w:rsidR="008979FC" w:rsidRPr="00DC65F6" w:rsidRDefault="008979FC" w:rsidP="00D5007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 xml:space="preserve">Prenez connaissances du </w:t>
      </w:r>
      <w:r w:rsidRPr="00DC65F6">
        <w:rPr>
          <w:rFonts w:ascii="Arial" w:eastAsia="Times New Roman" w:hAnsi="Arial" w:cs="Arial"/>
          <w:b/>
          <w:bCs/>
          <w:color w:val="FF0000"/>
          <w:kern w:val="36"/>
          <w:szCs w:val="48"/>
          <w:lang w:eastAsia="fr-FR"/>
        </w:rPr>
        <w:t>DOCUMENT 2</w:t>
      </w:r>
      <w:r w:rsidRPr="00DC65F6">
        <w:rPr>
          <w:rFonts w:ascii="Arial" w:eastAsia="Times New Roman" w:hAnsi="Arial" w:cs="Arial"/>
          <w:bCs/>
          <w:color w:val="FF0000"/>
          <w:kern w:val="36"/>
          <w:szCs w:val="48"/>
          <w:lang w:eastAsia="fr-FR"/>
        </w:rPr>
        <w:t xml:space="preserve"> </w:t>
      </w: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et traitez les réponses ci-dessous.</w:t>
      </w:r>
    </w:p>
    <w:p w14:paraId="410FE768" w14:textId="77777777" w:rsidR="00BB1F34" w:rsidRDefault="00BB1F34" w:rsidP="00387C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Identifiez les personnes qui s’opposent dans cette affaire.</w:t>
      </w:r>
    </w:p>
    <w:p w14:paraId="5B864ADD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086CA3D9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646149CB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576509AB" w14:textId="72F92827" w:rsidR="00BB1F34" w:rsidRDefault="00BB1F34" w:rsidP="00387C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Repérez la juridiction qui a tranché ce litige.</w:t>
      </w:r>
    </w:p>
    <w:p w14:paraId="1EDDC25B" w14:textId="77777777" w:rsid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156EECD4" w14:textId="77777777" w:rsidR="002431F4" w:rsidRP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1BE10C1E" w14:textId="77777777" w:rsidR="00BB1F34" w:rsidRDefault="00BB1F34" w:rsidP="00387C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lastRenderedPageBreak/>
        <w:t>Résumez les faits.</w:t>
      </w:r>
    </w:p>
    <w:p w14:paraId="655228E8" w14:textId="77777777" w:rsidR="002431F4" w:rsidRPr="002431F4" w:rsidRDefault="002431F4" w:rsidP="002431F4">
      <w:pPr>
        <w:pStyle w:val="Paragraphedeliste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75CCDDE7" w14:textId="77777777" w:rsid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2AF177BD" w14:textId="77777777" w:rsid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00C549A4" w14:textId="77777777" w:rsidR="002431F4" w:rsidRPr="002431F4" w:rsidRDefault="002431F4" w:rsidP="002431F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7EA4C464" w14:textId="77777777" w:rsidR="00BB1F34" w:rsidRDefault="00BB1F34" w:rsidP="00387C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Expliquez quelles sont les conditions nécessaires pour mettre en œuvre la garantie contre les vices cachés</w:t>
      </w:r>
      <w:r w:rsidR="00387CA6"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.</w:t>
      </w:r>
    </w:p>
    <w:p w14:paraId="7BFFD2C5" w14:textId="77777777" w:rsidR="00C13374" w:rsidRPr="00DC65F6" w:rsidRDefault="00C13374" w:rsidP="00C1337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7F78006D" w14:textId="77777777" w:rsidR="00C13374" w:rsidRDefault="00C13374" w:rsidP="00C1337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color w:val="FF0000"/>
          <w:kern w:val="36"/>
          <w:szCs w:val="48"/>
          <w:lang w:eastAsia="fr-FR"/>
        </w:rPr>
      </w:pPr>
    </w:p>
    <w:p w14:paraId="568DBF08" w14:textId="77777777" w:rsidR="002431F4" w:rsidRDefault="002431F4" w:rsidP="00C1337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color w:val="FF0000"/>
          <w:kern w:val="36"/>
          <w:szCs w:val="48"/>
          <w:lang w:eastAsia="fr-FR"/>
        </w:rPr>
      </w:pPr>
    </w:p>
    <w:p w14:paraId="21B89FCB" w14:textId="77777777" w:rsidR="002431F4" w:rsidRPr="00C13374" w:rsidRDefault="002431F4" w:rsidP="00C1337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6D7D6F4A" w14:textId="77777777" w:rsidR="00BB1F34" w:rsidRPr="00DC65F6" w:rsidRDefault="00BB1F34" w:rsidP="00387C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Précisez la décision du tribunal.</w:t>
      </w:r>
    </w:p>
    <w:p w14:paraId="4B3DF906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7AD89388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71C6A8A0" w14:textId="77777777" w:rsidR="002431F4" w:rsidRDefault="002431F4" w:rsidP="002431F4">
      <w:pPr>
        <w:pStyle w:val="Paragraphedelist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</w:p>
    <w:p w14:paraId="67175D6D" w14:textId="238725CF" w:rsidR="00BB1F34" w:rsidRPr="00DC65F6" w:rsidRDefault="00BB1F34" w:rsidP="00387C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Cs w:val="48"/>
          <w:lang w:eastAsia="fr-FR"/>
        </w:rPr>
      </w:pPr>
      <w:r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 xml:space="preserve">Citez </w:t>
      </w:r>
      <w:r w:rsidR="00387CA6" w:rsidRPr="00DC65F6">
        <w:rPr>
          <w:rFonts w:ascii="Arial" w:eastAsia="Times New Roman" w:hAnsi="Arial" w:cs="Arial"/>
          <w:bCs/>
          <w:kern w:val="36"/>
          <w:szCs w:val="48"/>
          <w:lang w:eastAsia="fr-FR"/>
        </w:rPr>
        <w:t>l’autre garantie obligatoire dans le contrat de vente.</w:t>
      </w:r>
    </w:p>
    <w:p w14:paraId="27220C2F" w14:textId="77777777" w:rsidR="00727E30" w:rsidRDefault="00727E30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5DF770E5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04F060E3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614251FB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3E69AF24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3F00ECBB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458E3B88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070C513C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3CAE12F6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7127F83D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194BC356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075926F6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46A14164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1878AB2F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43B2A28C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62631F18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736CD633" w14:textId="77777777" w:rsidR="00A017FC" w:rsidRDefault="00A017FC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7744813C" w14:textId="77777777" w:rsidR="002431F4" w:rsidRDefault="002431F4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</w:p>
    <w:p w14:paraId="0B610DD9" w14:textId="7CC95B8F" w:rsidR="00D50076" w:rsidRPr="00DC65F6" w:rsidRDefault="002431F4" w:rsidP="00DC65F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60FDA" wp14:editId="51E35118">
            <wp:simplePos x="0" y="0"/>
            <wp:positionH relativeFrom="column">
              <wp:posOffset>3671570</wp:posOffset>
            </wp:positionH>
            <wp:positionV relativeFrom="paragraph">
              <wp:posOffset>474345</wp:posOffset>
            </wp:positionV>
            <wp:extent cx="2139950" cy="714375"/>
            <wp:effectExtent l="0" t="0" r="0" b="9525"/>
            <wp:wrapSquare wrapText="bothSides"/>
            <wp:docPr id="969892948" name="Image 1" descr="Ledger (entrepris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ger (entreprise)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A6" w:rsidRPr="00DC65F6">
        <w:rPr>
          <w:rFonts w:ascii="Arial" w:eastAsia="Times New Roman" w:hAnsi="Arial" w:cs="Arial"/>
          <w:b/>
          <w:bCs/>
          <w:color w:val="FF0000"/>
          <w:kern w:val="36"/>
          <w:lang w:eastAsia="fr-FR"/>
        </w:rPr>
        <w:t xml:space="preserve">DOCUMENT 1 - </w:t>
      </w:r>
      <w:proofErr w:type="spellStart"/>
      <w:r w:rsidR="00387CA6" w:rsidRPr="00DC65F6">
        <w:rPr>
          <w:rFonts w:ascii="Arial" w:eastAsia="Times New Roman" w:hAnsi="Arial" w:cs="Arial"/>
          <w:b/>
          <w:bCs/>
          <w:color w:val="FF0000"/>
          <w:kern w:val="36"/>
          <w:lang w:eastAsia="fr-FR"/>
        </w:rPr>
        <w:t>L</w:t>
      </w:r>
      <w:r w:rsidR="00D50076" w:rsidRPr="00DC65F6">
        <w:rPr>
          <w:rFonts w:ascii="Arial" w:eastAsia="Times New Roman" w:hAnsi="Arial" w:cs="Arial"/>
          <w:b/>
          <w:bCs/>
          <w:color w:val="FF0000"/>
          <w:kern w:val="36"/>
          <w:lang w:eastAsia="fr-FR"/>
        </w:rPr>
        <w:t>edger</w:t>
      </w:r>
      <w:proofErr w:type="spellEnd"/>
      <w:r w:rsidR="00D50076" w:rsidRPr="00DC65F6">
        <w:rPr>
          <w:rFonts w:ascii="Arial" w:eastAsia="Times New Roman" w:hAnsi="Arial" w:cs="Arial"/>
          <w:b/>
          <w:bCs/>
          <w:color w:val="FF0000"/>
          <w:kern w:val="36"/>
          <w:lang w:eastAsia="fr-FR"/>
        </w:rPr>
        <w:t xml:space="preserve"> sanctionnée par la CNIL : une amende de 750 000 euros pour des manquements à la protection des données</w:t>
      </w:r>
    </w:p>
    <w:p w14:paraId="255CE2D9" w14:textId="58DEF77D" w:rsidR="00D50076" w:rsidRPr="00DC65F6" w:rsidRDefault="00D50076" w:rsidP="00DC65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C65F6">
        <w:rPr>
          <w:rFonts w:ascii="Arial" w:eastAsia="Times New Roman" w:hAnsi="Arial" w:cs="Arial"/>
          <w:lang w:eastAsia="fr-FR"/>
        </w:rPr>
        <w:t>La </w:t>
      </w:r>
      <w:r w:rsidRPr="00DC65F6">
        <w:rPr>
          <w:rFonts w:ascii="Arial" w:eastAsia="Times New Roman" w:hAnsi="Arial" w:cs="Arial"/>
          <w:bCs/>
          <w:lang w:eastAsia="fr-FR"/>
        </w:rPr>
        <w:t xml:space="preserve">Commission nationale de l’informatique et des libertés </w:t>
      </w:r>
      <w:r w:rsidRPr="00DC65F6">
        <w:rPr>
          <w:rFonts w:ascii="Arial" w:eastAsia="Times New Roman" w:hAnsi="Arial" w:cs="Arial"/>
          <w:lang w:eastAsia="fr-FR"/>
        </w:rPr>
        <w:t>a infligé à Ledger, fabricant français de portefeuilles sécurisés pour cryptomonnaies, une amende de 750 000 euros. Cette sanction fait suite à plusieurs </w:t>
      </w:r>
      <w:r w:rsidRPr="00DC65F6">
        <w:rPr>
          <w:rFonts w:ascii="Arial" w:eastAsia="Times New Roman" w:hAnsi="Arial" w:cs="Arial"/>
          <w:bCs/>
          <w:lang w:eastAsia="fr-FR"/>
        </w:rPr>
        <w:t>violations de données personnelles</w:t>
      </w:r>
      <w:r w:rsidRPr="00DC65F6">
        <w:rPr>
          <w:rFonts w:ascii="Arial" w:eastAsia="Times New Roman" w:hAnsi="Arial" w:cs="Arial"/>
          <w:lang w:eastAsia="fr-FR"/>
        </w:rPr>
        <w:t xml:space="preserve"> survenues en 2020, qui ont affecté de nombreux clients</w:t>
      </w:r>
      <w:r w:rsidR="00A017FC">
        <w:rPr>
          <w:rFonts w:ascii="Arial" w:eastAsia="Times New Roman" w:hAnsi="Arial" w:cs="Arial"/>
          <w:lang w:eastAsia="fr-FR"/>
        </w:rPr>
        <w:t>.</w:t>
      </w:r>
    </w:p>
    <w:p w14:paraId="77776E54" w14:textId="77777777" w:rsidR="00D50076" w:rsidRPr="00DC65F6" w:rsidRDefault="00D50076" w:rsidP="00DC65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C65F6">
        <w:rPr>
          <w:rFonts w:ascii="Arial" w:eastAsia="Times New Roman" w:hAnsi="Arial" w:cs="Arial"/>
          <w:lang w:eastAsia="fr-FR"/>
        </w:rPr>
        <w:t>En juillet 2020, Ledger a subi une première </w:t>
      </w:r>
      <w:r w:rsidRPr="00DC65F6">
        <w:rPr>
          <w:rFonts w:ascii="Arial" w:eastAsia="Times New Roman" w:hAnsi="Arial" w:cs="Arial"/>
          <w:bCs/>
          <w:lang w:eastAsia="fr-FR"/>
        </w:rPr>
        <w:t>fuite de données</w:t>
      </w:r>
      <w:r w:rsidRPr="00DC65F6">
        <w:rPr>
          <w:rFonts w:ascii="Arial" w:eastAsia="Times New Roman" w:hAnsi="Arial" w:cs="Arial"/>
          <w:lang w:eastAsia="fr-FR"/>
        </w:rPr>
        <w:t> touchant environ un million de ses clients. Les informations compromises comprenaient notamment les coordonnées personnelles telles que les adresses e-mail, les noms et prénoms des utilisateurs. À peine quelques mois plus tard, une seconde violation est venue aggraver la situation, exposant 273 000 numéros de téléphone ainsi que d’autres renseignements personnels des clients.</w:t>
      </w:r>
    </w:p>
    <w:p w14:paraId="3BD08201" w14:textId="77777777" w:rsidR="00D50076" w:rsidRPr="00DC65F6" w:rsidRDefault="00D50076" w:rsidP="00DC65F6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lang w:eastAsia="fr-FR"/>
        </w:rPr>
      </w:pPr>
      <w:r w:rsidRPr="00DC65F6">
        <w:rPr>
          <w:rFonts w:ascii="Arial" w:eastAsia="Times New Roman" w:hAnsi="Arial" w:cs="Arial"/>
          <w:vanish/>
          <w:lang w:eastAsia="fr-FR"/>
        </w:rPr>
        <w:t>Haut du formulaire</w:t>
      </w:r>
    </w:p>
    <w:p w14:paraId="49183302" w14:textId="77777777" w:rsidR="00D50076" w:rsidRPr="00DC65F6" w:rsidRDefault="00D50076" w:rsidP="00DC65F6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lang w:eastAsia="fr-FR"/>
        </w:rPr>
      </w:pPr>
      <w:r w:rsidRPr="00DC65F6">
        <w:rPr>
          <w:rFonts w:ascii="Arial" w:eastAsia="Times New Roman" w:hAnsi="Arial" w:cs="Arial"/>
          <w:vanish/>
          <w:lang w:eastAsia="fr-FR"/>
        </w:rPr>
        <w:t>Bas du formulaire</w:t>
      </w:r>
    </w:p>
    <w:p w14:paraId="4069BAFA" w14:textId="77777777" w:rsidR="00D50076" w:rsidRPr="00DC65F6" w:rsidRDefault="00D50076" w:rsidP="00DC65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C65F6">
        <w:rPr>
          <w:rFonts w:ascii="Arial" w:eastAsia="Times New Roman" w:hAnsi="Arial" w:cs="Arial"/>
          <w:lang w:eastAsia="fr-FR"/>
        </w:rPr>
        <w:t>Ces incidents ont provoqué une cinquantaine de plaintes déposées en France et dans d’autres pays européens. Ce flot de réclamations a poussé la CNIL à examiner de près les mesures de sécurité mises en place par Ledger. Suite à ces investigations, la commission a jugé les pratiques de l’entreprise insuffisantes pour la protection de ses utilisateurs, entraînant ainsi la sanction financière.</w:t>
      </w:r>
    </w:p>
    <w:p w14:paraId="3336EE33" w14:textId="5F461ACA" w:rsidR="00D50076" w:rsidRPr="00DC65F6" w:rsidRDefault="002431F4" w:rsidP="00DC65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74AAD8" wp14:editId="6005D2E4">
            <wp:simplePos x="0" y="0"/>
            <wp:positionH relativeFrom="column">
              <wp:posOffset>1270</wp:posOffset>
            </wp:positionH>
            <wp:positionV relativeFrom="paragraph">
              <wp:posOffset>774065</wp:posOffset>
            </wp:positionV>
            <wp:extent cx="1358900" cy="1588770"/>
            <wp:effectExtent l="0" t="0" r="0" b="0"/>
            <wp:wrapSquare wrapText="bothSides"/>
            <wp:docPr id="252275213" name="Image 2" descr="Acheter Ledger Nano X hardware wallet | Led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eter Ledger Nano X hardware wallet | Led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76" w:rsidRPr="00DC65F6">
        <w:rPr>
          <w:rFonts w:ascii="Arial" w:eastAsia="Times New Roman" w:hAnsi="Arial" w:cs="Arial"/>
          <w:lang w:eastAsia="fr-FR"/>
        </w:rPr>
        <w:t>La principale raison invoquée par la CNIL pour infliger cette amende concerne la </w:t>
      </w:r>
      <w:r w:rsidR="00D50076" w:rsidRPr="00DC65F6">
        <w:rPr>
          <w:rFonts w:ascii="Arial" w:eastAsia="Times New Roman" w:hAnsi="Arial" w:cs="Arial"/>
          <w:bCs/>
          <w:lang w:eastAsia="fr-FR"/>
        </w:rPr>
        <w:t>durée et les modalités de conservation des données</w:t>
      </w:r>
      <w:r w:rsidR="00D50076" w:rsidRPr="00DC65F6">
        <w:rPr>
          <w:rFonts w:ascii="Arial" w:eastAsia="Times New Roman" w:hAnsi="Arial" w:cs="Arial"/>
          <w:lang w:eastAsia="fr-FR"/>
        </w:rPr>
        <w:t>. En effet, Ledger n’a pas respecté les exigences du </w:t>
      </w:r>
      <w:r w:rsidR="00D50076" w:rsidRPr="00DC65F6">
        <w:rPr>
          <w:rFonts w:ascii="Arial" w:eastAsia="Times New Roman" w:hAnsi="Arial" w:cs="Arial"/>
          <w:bCs/>
          <w:lang w:eastAsia="fr-FR"/>
        </w:rPr>
        <w:t>Règlement général sur la protection des données (RGPD)</w:t>
      </w:r>
      <w:r w:rsidR="00D50076" w:rsidRPr="00DC65F6">
        <w:rPr>
          <w:rFonts w:ascii="Arial" w:eastAsia="Times New Roman" w:hAnsi="Arial" w:cs="Arial"/>
          <w:lang w:eastAsia="fr-FR"/>
        </w:rPr>
        <w:t>, qui encadre strictement la gestion des données personnelles au sein de l’Union européenne.</w:t>
      </w:r>
    </w:p>
    <w:p w14:paraId="5D5CEB26" w14:textId="0EB68D53" w:rsidR="00D50076" w:rsidRPr="00DC65F6" w:rsidRDefault="00D50076" w:rsidP="00DC65F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65F6">
        <w:rPr>
          <w:rFonts w:ascii="Arial" w:eastAsia="Times New Roman" w:hAnsi="Arial" w:cs="Arial"/>
          <w:lang w:eastAsia="fr-FR"/>
        </w:rPr>
        <w:t xml:space="preserve">Selon les résultats de l’enquête, deux grands points ont été relevés. Tout d’abord, le non-respect de la durée de conservation légale des données stockées. </w:t>
      </w:r>
      <w:r w:rsidRPr="00DC65F6">
        <w:rPr>
          <w:rFonts w:ascii="Arial" w:hAnsi="Arial" w:cs="Arial"/>
        </w:rPr>
        <w:t xml:space="preserve">Ledger a conservé les informations personnelles de ses clients bien au-delà de ce qui est strictement nécessaire, exposant ainsi ces données à des risques inutiles. Cette pratique enfreint le principe de limitation de durée, un pilier du RGPD. </w:t>
      </w:r>
      <w:r w:rsidRPr="00DC65F6">
        <w:rPr>
          <w:rFonts w:ascii="Arial" w:eastAsia="Times New Roman" w:hAnsi="Arial" w:cs="Arial"/>
          <w:lang w:eastAsia="fr-FR"/>
        </w:rPr>
        <w:t xml:space="preserve">Ensuite, la manière dont ces données devaient être sécurisées et protégées a également été remise en question. Le manque de mesures adéquates pour empêcher tout accès non autorisé aux informations sensibles constitue une grave infraction au RGPD. </w:t>
      </w:r>
    </w:p>
    <w:p w14:paraId="50B5FBBA" w14:textId="33DF5002" w:rsidR="00EE554D" w:rsidRPr="00DC65F6" w:rsidRDefault="00EE554D" w:rsidP="00DC65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C65F6">
        <w:rPr>
          <w:rFonts w:ascii="Arial" w:eastAsia="Times New Roman" w:hAnsi="Arial" w:cs="Arial"/>
          <w:lang w:eastAsia="fr-FR"/>
        </w:rPr>
        <w:t>Les récents événements mettant en cause Ledger démontrent l’importance capitale de la sécurité dans le stockage des cryptomonnaies</w:t>
      </w:r>
      <w:r w:rsidR="00A017FC">
        <w:rPr>
          <w:rFonts w:ascii="Arial" w:eastAsia="Times New Roman" w:hAnsi="Arial" w:cs="Arial"/>
          <w:lang w:eastAsia="fr-FR"/>
        </w:rPr>
        <w:t>, secteur naissant et en pleine croissance</w:t>
      </w:r>
      <w:r w:rsidRPr="00DC65F6">
        <w:rPr>
          <w:rFonts w:ascii="Arial" w:eastAsia="Times New Roman" w:hAnsi="Arial" w:cs="Arial"/>
          <w:lang w:eastAsia="fr-FR"/>
        </w:rPr>
        <w:t>. La sanction de la CNIL sert de rappel sévère à toutes les entreprises manipulant des données personnelles sensibles, soulignant la nécessité impérative de suivre scrupuleusement les standards de </w:t>
      </w:r>
      <w:r w:rsidRPr="00DC65F6">
        <w:rPr>
          <w:rFonts w:ascii="Arial" w:eastAsia="Times New Roman" w:hAnsi="Arial" w:cs="Arial"/>
          <w:bCs/>
          <w:lang w:eastAsia="fr-FR"/>
        </w:rPr>
        <w:t>sécurité informatiques</w:t>
      </w:r>
      <w:r w:rsidRPr="00DC65F6">
        <w:rPr>
          <w:rFonts w:ascii="Arial" w:eastAsia="Times New Roman" w:hAnsi="Arial" w:cs="Arial"/>
          <w:lang w:eastAsia="fr-FR"/>
        </w:rPr>
        <w:t> les plus élevés.</w:t>
      </w:r>
    </w:p>
    <w:p w14:paraId="7086F020" w14:textId="76636C7E" w:rsidR="008979FC" w:rsidRDefault="00DC65F6" w:rsidP="00EE554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Source : </w:t>
      </w:r>
      <w:hyperlink r:id="rId9" w:history="1">
        <w:r w:rsidR="00783D41" w:rsidRPr="000F15A6">
          <w:rPr>
            <w:rStyle w:val="Lienhypertexte"/>
            <w:rFonts w:ascii="Arial" w:eastAsia="Times New Roman" w:hAnsi="Arial" w:cs="Arial"/>
            <w:lang w:eastAsia="fr-FR"/>
          </w:rPr>
          <w:t>https://siecledigital.fr/2024/10/24/ledger-sanctionnee-par-la-cnil-une-amende-de-750-000-euros-pour-des-manquements-a-la-protection-des-donnees/</w:t>
        </w:r>
      </w:hyperlink>
      <w:r w:rsidR="00783D41">
        <w:rPr>
          <w:rFonts w:ascii="Arial" w:eastAsia="Times New Roman" w:hAnsi="Arial" w:cs="Arial"/>
          <w:lang w:eastAsia="fr-FR"/>
        </w:rPr>
        <w:t xml:space="preserve"> 24/10/2024</w:t>
      </w:r>
    </w:p>
    <w:p w14:paraId="03B6E880" w14:textId="77777777" w:rsidR="008979FC" w:rsidRDefault="008979FC" w:rsidP="00EE554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14:paraId="1B022722" w14:textId="77777777" w:rsidR="00DC65F6" w:rsidRDefault="00DC65F6" w:rsidP="00EE554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14:paraId="3CA3F268" w14:textId="77777777" w:rsidR="00DC65F6" w:rsidRDefault="00DC65F6" w:rsidP="00EE554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14:paraId="78975C51" w14:textId="77777777" w:rsidR="00DC65F6" w:rsidRDefault="00DC65F6" w:rsidP="00EE554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14:paraId="61BD75C7" w14:textId="77777777" w:rsidR="008979FC" w:rsidRDefault="008979FC" w:rsidP="00EE554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14:paraId="2F7E8F93" w14:textId="77777777" w:rsidR="008979FC" w:rsidRPr="002431F4" w:rsidRDefault="00387CA6" w:rsidP="004E2AD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2431F4">
        <w:rPr>
          <w:rFonts w:ascii="Arial" w:hAnsi="Arial" w:cs="Arial"/>
          <w:color w:val="FF0000"/>
          <w:sz w:val="22"/>
          <w:szCs w:val="22"/>
        </w:rPr>
        <w:t xml:space="preserve">DOCUMENT 2 – </w:t>
      </w:r>
      <w:r w:rsidR="008979FC" w:rsidRPr="002431F4">
        <w:rPr>
          <w:rFonts w:ascii="Arial" w:hAnsi="Arial" w:cs="Arial"/>
          <w:color w:val="FF0000"/>
          <w:sz w:val="22"/>
          <w:szCs w:val="22"/>
        </w:rPr>
        <w:t>Sa voiture tombe en panne en pleine route : ce Breton parvient à faire condamner Citroën</w:t>
      </w:r>
    </w:p>
    <w:p w14:paraId="2556BA3E" w14:textId="0E507568" w:rsidR="00A40244" w:rsidRPr="002431F4" w:rsidRDefault="008979FC" w:rsidP="004E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hd w:val="clear" w:color="auto" w:fill="FFFFFF"/>
        </w:rPr>
      </w:pPr>
      <w:r w:rsidRPr="002431F4">
        <w:rPr>
          <w:rFonts w:ascii="Arial" w:hAnsi="Arial" w:cs="Arial"/>
          <w:shd w:val="clear" w:color="auto" w:fill="FFFFFF"/>
        </w:rPr>
        <w:t>Lundi 13 novembre 2023, le propriétaire d’une Citroën </w:t>
      </w:r>
      <w:r w:rsidRPr="002431F4">
        <w:rPr>
          <w:rStyle w:val="Accentuation"/>
          <w:rFonts w:ascii="Arial" w:hAnsi="Arial" w:cs="Arial"/>
          <w:shd w:val="clear" w:color="auto" w:fill="FFFFFF"/>
        </w:rPr>
        <w:t>C4 Picasso</w:t>
      </w:r>
      <w:r w:rsidRPr="002431F4">
        <w:rPr>
          <w:rFonts w:ascii="Arial" w:hAnsi="Arial" w:cs="Arial"/>
          <w:shd w:val="clear" w:color="auto" w:fill="FFFFFF"/>
        </w:rPr>
        <w:t xml:space="preserve"> automatique a réussi à faire condamner le constructeur automobile pour vice caché, par le tribunal </w:t>
      </w:r>
      <w:r w:rsidR="004E2ADA" w:rsidRPr="002431F4">
        <w:rPr>
          <w:rFonts w:ascii="Arial" w:hAnsi="Arial" w:cs="Arial"/>
          <w:shd w:val="clear" w:color="auto" w:fill="FFFFFF"/>
        </w:rPr>
        <w:t xml:space="preserve">judiciaire </w:t>
      </w:r>
      <w:r w:rsidRPr="002431F4">
        <w:rPr>
          <w:rFonts w:ascii="Arial" w:hAnsi="Arial" w:cs="Arial"/>
          <w:shd w:val="clear" w:color="auto" w:fill="FFFFFF"/>
        </w:rPr>
        <w:t xml:space="preserve">de Saint-Brieuc (Côtes-d’Armor). La panne remonte au 27 novembre 2022. Alors que Jacques </w:t>
      </w:r>
      <w:r w:rsidR="00783D41" w:rsidRPr="002431F4">
        <w:rPr>
          <w:rFonts w:ascii="Arial" w:hAnsi="Arial" w:cs="Arial"/>
          <w:shd w:val="clear" w:color="auto" w:fill="FFFFFF"/>
        </w:rPr>
        <w:t>B.</w:t>
      </w:r>
      <w:r w:rsidRPr="002431F4">
        <w:rPr>
          <w:rFonts w:ascii="Arial" w:hAnsi="Arial" w:cs="Arial"/>
          <w:shd w:val="clear" w:color="auto" w:fill="FFFFFF"/>
        </w:rPr>
        <w:t xml:space="preserve"> circule avec des proches dans le bourg d’Yffiniac (Côtes-d’Armor), son véhicule s’arrête brutalement.</w:t>
      </w:r>
    </w:p>
    <w:p w14:paraId="0B33AD13" w14:textId="77777777" w:rsidR="008979FC" w:rsidRPr="002431F4" w:rsidRDefault="008979FC" w:rsidP="004E2A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2431F4">
        <w:rPr>
          <w:rFonts w:ascii="Arial" w:hAnsi="Arial" w:cs="Arial"/>
          <w:sz w:val="22"/>
          <w:szCs w:val="22"/>
        </w:rPr>
        <w:t>Il appuie à plusieurs reprises sur le bouton démarrer mais la voiture ne se relance pas. Il tente alors d’activer les warnings, mais rien ne fonctionne. Impossible également de </w:t>
      </w:r>
      <w:hyperlink r:id="rId10" w:tgtFrame="_self" w:history="1">
        <w:r w:rsidRPr="002431F4">
          <w:rPr>
            <w:rStyle w:val="Lienhypertexte"/>
            <w:rFonts w:ascii="Arial" w:hAnsi="Arial" w:cs="Arial"/>
            <w:color w:val="auto"/>
            <w:sz w:val="22"/>
            <w:szCs w:val="22"/>
            <w:u w:val="none"/>
          </w:rPr>
          <w:t>récupérer le triangle de signalisation</w:t>
        </w:r>
      </w:hyperlink>
      <w:r w:rsidRPr="002431F4">
        <w:rPr>
          <w:rFonts w:ascii="Arial" w:hAnsi="Arial" w:cs="Arial"/>
          <w:sz w:val="22"/>
          <w:szCs w:val="22"/>
        </w:rPr>
        <w:t xml:space="preserve"> : le coffre ne s’ouvre pas. </w:t>
      </w:r>
    </w:p>
    <w:p w14:paraId="58836F7E" w14:textId="25E1D999" w:rsidR="004E2ADA" w:rsidRPr="002431F4" w:rsidRDefault="004E2ADA" w:rsidP="004E2A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5591A73" w14:textId="702500A2" w:rsidR="008979FC" w:rsidRPr="002431F4" w:rsidRDefault="008979FC" w:rsidP="004E2A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431F4">
        <w:rPr>
          <w:rFonts w:ascii="Arial" w:hAnsi="Arial" w:cs="Arial"/>
          <w:sz w:val="22"/>
          <w:szCs w:val="22"/>
        </w:rPr>
        <w:t xml:space="preserve">Or, Jacques </w:t>
      </w:r>
      <w:r w:rsidR="00783D41" w:rsidRPr="002431F4">
        <w:rPr>
          <w:rFonts w:ascii="Arial" w:hAnsi="Arial" w:cs="Arial"/>
          <w:sz w:val="22"/>
          <w:szCs w:val="22"/>
        </w:rPr>
        <w:t>B.</w:t>
      </w:r>
      <w:r w:rsidRPr="002431F4">
        <w:rPr>
          <w:rFonts w:ascii="Arial" w:hAnsi="Arial" w:cs="Arial"/>
          <w:sz w:val="22"/>
          <w:szCs w:val="22"/>
        </w:rPr>
        <w:t xml:space="preserve"> peine à croire à une défectuosité du boîtier puisque sa voiture n’affichait que 38 000 km au compteur. D’autant plus que le véhicule était bien entretenu, facture et contrôle technique à l’appui. C’est donc en se basant sur la dénonciation d’un vice caché qu’il a décidé d’attaquer Citroën en justice.</w:t>
      </w:r>
    </w:p>
    <w:p w14:paraId="06589A47" w14:textId="77777777" w:rsidR="004E2ADA" w:rsidRPr="002431F4" w:rsidRDefault="004E2ADA" w:rsidP="004E2A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02349DF" w14:textId="28968757" w:rsidR="008979FC" w:rsidRPr="002431F4" w:rsidRDefault="004E2ADA" w:rsidP="004E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hd w:val="clear" w:color="auto" w:fill="FFFFFF"/>
        </w:rPr>
      </w:pPr>
      <w:r w:rsidRPr="002431F4">
        <w:rPr>
          <w:rFonts w:ascii="Arial" w:hAnsi="Arial" w:cs="Arial"/>
          <w:shd w:val="clear" w:color="auto" w:fill="FFFFFF"/>
        </w:rPr>
        <w:t>L</w:t>
      </w:r>
      <w:r w:rsidR="008979FC" w:rsidRPr="002431F4">
        <w:rPr>
          <w:rFonts w:ascii="Arial" w:hAnsi="Arial" w:cs="Arial"/>
          <w:shd w:val="clear" w:color="auto" w:fill="FFFFFF"/>
        </w:rPr>
        <w:t xml:space="preserve">a panne </w:t>
      </w:r>
      <w:r w:rsidRPr="002431F4">
        <w:rPr>
          <w:rFonts w:ascii="Arial" w:hAnsi="Arial" w:cs="Arial"/>
          <w:shd w:val="clear" w:color="auto" w:fill="FFFFFF"/>
        </w:rPr>
        <w:t>intervenant</w:t>
      </w:r>
      <w:r w:rsidR="008979FC" w:rsidRPr="002431F4">
        <w:rPr>
          <w:rFonts w:ascii="Arial" w:hAnsi="Arial" w:cs="Arial"/>
          <w:shd w:val="clear" w:color="auto" w:fill="FFFFFF"/>
        </w:rPr>
        <w:t xml:space="preserve"> moins de 20 ans après la vente du véhicule </w:t>
      </w:r>
      <w:r w:rsidRPr="002431F4">
        <w:rPr>
          <w:rFonts w:ascii="Arial" w:hAnsi="Arial" w:cs="Arial"/>
          <w:shd w:val="clear" w:color="auto" w:fill="FFFFFF"/>
        </w:rPr>
        <w:t>et l’action en justice étant intentée dans les deux ans après la découverte du défaut, l</w:t>
      </w:r>
      <w:r w:rsidR="008979FC" w:rsidRPr="002431F4">
        <w:rPr>
          <w:rFonts w:ascii="Arial" w:hAnsi="Arial" w:cs="Arial"/>
          <w:shd w:val="clear" w:color="auto" w:fill="FFFFFF"/>
        </w:rPr>
        <w:t>e tribunal a donc condamné Citroën à verser 1 208 € de dommages et intérêts au propriétaire de la voiture.</w:t>
      </w:r>
    </w:p>
    <w:p w14:paraId="34D5ACB4" w14:textId="5EDD2E12" w:rsidR="00DC65F6" w:rsidRPr="002431F4" w:rsidRDefault="00DC65F6" w:rsidP="004E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431F4">
        <w:rPr>
          <w:rFonts w:ascii="Arial" w:hAnsi="Arial" w:cs="Arial"/>
          <w:shd w:val="clear" w:color="auto" w:fill="FFFFFF"/>
        </w:rPr>
        <w:t>Source :</w:t>
      </w:r>
      <w:r w:rsidR="00783D41" w:rsidRPr="002431F4">
        <w:rPr>
          <w:rFonts w:ascii="Arial" w:hAnsi="Arial" w:cs="Arial"/>
          <w:shd w:val="clear" w:color="auto" w:fill="FFFFFF"/>
        </w:rPr>
        <w:t xml:space="preserve"> </w:t>
      </w:r>
      <w:hyperlink r:id="rId11" w:history="1">
        <w:r w:rsidR="002431F4" w:rsidRPr="002431F4">
          <w:rPr>
            <w:rStyle w:val="Lienhypertexte"/>
            <w:rFonts w:ascii="Arial" w:hAnsi="Arial" w:cs="Arial"/>
          </w:rPr>
          <w:t>www.ouest-france.fr</w:t>
        </w:r>
      </w:hyperlink>
      <w:r w:rsidR="002431F4" w:rsidRPr="002431F4">
        <w:rPr>
          <w:rFonts w:ascii="Arial" w:hAnsi="Arial" w:cs="Arial"/>
        </w:rPr>
        <w:t xml:space="preserve"> </w:t>
      </w:r>
    </w:p>
    <w:sectPr w:rsidR="00DC65F6" w:rsidRPr="002431F4" w:rsidSect="00DC65F6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8B72A" w14:textId="77777777" w:rsidR="00F53135" w:rsidRDefault="00F53135" w:rsidP="002431F4">
      <w:pPr>
        <w:spacing w:after="0" w:line="240" w:lineRule="auto"/>
      </w:pPr>
      <w:r>
        <w:separator/>
      </w:r>
    </w:p>
  </w:endnote>
  <w:endnote w:type="continuationSeparator" w:id="0">
    <w:p w14:paraId="3196A983" w14:textId="77777777" w:rsidR="00F53135" w:rsidRDefault="00F53135" w:rsidP="0024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B422" w14:textId="62FAF6FD" w:rsidR="002431F4" w:rsidRDefault="002431F4">
    <w:pPr>
      <w:pStyle w:val="Pieddepage"/>
      <w:jc w:val="right"/>
    </w:pPr>
    <w:r>
      <w:rPr>
        <w:color w:val="5B9BD5" w:themeColor="accent1"/>
        <w:sz w:val="20"/>
        <w:szCs w:val="20"/>
      </w:rPr>
      <w:t xml:space="preserve">2GATL – POINT ECONOMIQUE ET JURIDIQUE 6 – EVALUATION – J. SENABRE p.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5BFFEC51" w14:textId="77777777" w:rsidR="002431F4" w:rsidRDefault="002431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12809" w14:textId="77777777" w:rsidR="00F53135" w:rsidRDefault="00F53135" w:rsidP="002431F4">
      <w:pPr>
        <w:spacing w:after="0" w:line="240" w:lineRule="auto"/>
      </w:pPr>
      <w:r>
        <w:separator/>
      </w:r>
    </w:p>
  </w:footnote>
  <w:footnote w:type="continuationSeparator" w:id="0">
    <w:p w14:paraId="26B5CD6E" w14:textId="77777777" w:rsidR="00F53135" w:rsidRDefault="00F53135" w:rsidP="0024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77C27"/>
    <w:multiLevelType w:val="hybridMultilevel"/>
    <w:tmpl w:val="79C89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4C48"/>
    <w:multiLevelType w:val="hybridMultilevel"/>
    <w:tmpl w:val="76D8B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F64C3"/>
    <w:multiLevelType w:val="hybridMultilevel"/>
    <w:tmpl w:val="D17C20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1AA"/>
    <w:multiLevelType w:val="hybridMultilevel"/>
    <w:tmpl w:val="61C8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6FCB"/>
    <w:multiLevelType w:val="multilevel"/>
    <w:tmpl w:val="24F059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DD77779"/>
    <w:multiLevelType w:val="hybridMultilevel"/>
    <w:tmpl w:val="C0B8D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8203">
    <w:abstractNumId w:val="5"/>
  </w:num>
  <w:num w:numId="2" w16cid:durableId="1221138935">
    <w:abstractNumId w:val="1"/>
  </w:num>
  <w:num w:numId="3" w16cid:durableId="1154641946">
    <w:abstractNumId w:val="2"/>
  </w:num>
  <w:num w:numId="4" w16cid:durableId="1883906856">
    <w:abstractNumId w:val="4"/>
  </w:num>
  <w:num w:numId="5" w16cid:durableId="1374883575">
    <w:abstractNumId w:val="0"/>
  </w:num>
  <w:num w:numId="6" w16cid:durableId="1541162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76"/>
    <w:rsid w:val="00125549"/>
    <w:rsid w:val="00205403"/>
    <w:rsid w:val="002431F4"/>
    <w:rsid w:val="002B3260"/>
    <w:rsid w:val="00387CA6"/>
    <w:rsid w:val="0039737E"/>
    <w:rsid w:val="004E2ADA"/>
    <w:rsid w:val="00727E30"/>
    <w:rsid w:val="00783D41"/>
    <w:rsid w:val="008979FC"/>
    <w:rsid w:val="00A017FC"/>
    <w:rsid w:val="00A40244"/>
    <w:rsid w:val="00A40557"/>
    <w:rsid w:val="00BB1F34"/>
    <w:rsid w:val="00C13374"/>
    <w:rsid w:val="00C87F8E"/>
    <w:rsid w:val="00CC319A"/>
    <w:rsid w:val="00D50076"/>
    <w:rsid w:val="00D80728"/>
    <w:rsid w:val="00DC65F6"/>
    <w:rsid w:val="00EE554D"/>
    <w:rsid w:val="00F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9DFB"/>
  <w15:chartTrackingRefBased/>
  <w15:docId w15:val="{6C89B156-9951-4D47-9FF6-22CABE2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50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00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5007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ont-normal">
    <w:name w:val="font-normal"/>
    <w:basedOn w:val="Policepardfaut"/>
    <w:rsid w:val="00D50076"/>
  </w:style>
  <w:style w:type="character" w:styleId="Lienhypertexte">
    <w:name w:val="Hyperlink"/>
    <w:basedOn w:val="Policepardfaut"/>
    <w:uiPriority w:val="99"/>
    <w:unhideWhenUsed/>
    <w:rsid w:val="00D50076"/>
    <w:rPr>
      <w:color w:val="0000FF"/>
      <w:u w:val="single"/>
    </w:rPr>
  </w:style>
  <w:style w:type="paragraph" w:customStyle="1" w:styleId="font-serif">
    <w:name w:val="font-serif"/>
    <w:basedOn w:val="Normal"/>
    <w:rsid w:val="00D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xs">
    <w:name w:val="text-xs"/>
    <w:basedOn w:val="Normal"/>
    <w:rsid w:val="00D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50076"/>
    <w:rPr>
      <w:b/>
      <w:bCs/>
    </w:rPr>
  </w:style>
  <w:style w:type="paragraph" w:customStyle="1" w:styleId="m-0">
    <w:name w:val="!m-0"/>
    <w:basedOn w:val="Normal"/>
    <w:rsid w:val="00D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500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5007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500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5007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E554D"/>
    <w:pPr>
      <w:ind w:left="720"/>
      <w:contextualSpacing/>
    </w:pPr>
  </w:style>
  <w:style w:type="paragraph" w:customStyle="1" w:styleId="su-standfirst">
    <w:name w:val="su-standfirst"/>
    <w:basedOn w:val="Normal"/>
    <w:rsid w:val="008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979FC"/>
    <w:rPr>
      <w:i/>
      <w:iCs/>
    </w:rPr>
  </w:style>
  <w:style w:type="paragraph" w:customStyle="1" w:styleId="Default">
    <w:name w:val="Default"/>
    <w:rsid w:val="00DC6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83D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1F4"/>
  </w:style>
  <w:style w:type="paragraph" w:styleId="Pieddepage">
    <w:name w:val="footer"/>
    <w:basedOn w:val="Normal"/>
    <w:link w:val="PieddepageCar"/>
    <w:uiPriority w:val="99"/>
    <w:unhideWhenUsed/>
    <w:rsid w:val="00243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3926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8EB"/>
                                <w:left w:val="single" w:sz="6" w:space="0" w:color="E6E8EB"/>
                                <w:bottom w:val="single" w:sz="6" w:space="0" w:color="E6E8EB"/>
                                <w:right w:val="single" w:sz="6" w:space="0" w:color="E6E8EB"/>
                              </w:divBdr>
                              <w:divsChild>
                                <w:div w:id="108006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8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DC3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0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uest-franc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uest-france.fr/societe/securite-routiere/assurances-constats-quels-sont-les-bons-reflexes-a-avoir-en-cas-daccident-de-la-route-materiel-d76398c6-48cd-11ee-95fb-5373350b7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ecledigital.fr/2024/10/24/ledger-sanctionnee-par-la-cnil-une-amende-de-750-000-euros-pour-des-manquements-a-la-protection-des-donne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J. SENABRE</cp:lastModifiedBy>
  <cp:revision>2</cp:revision>
  <dcterms:created xsi:type="dcterms:W3CDTF">2025-04-02T09:01:00Z</dcterms:created>
  <dcterms:modified xsi:type="dcterms:W3CDTF">2025-04-02T09:01:00Z</dcterms:modified>
</cp:coreProperties>
</file>